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2BB9" w:rsidRPr="00F62BB9" w:rsidRDefault="00F62BB9" w:rsidP="00F62BB9">
      <w:pPr>
        <w:spacing w:line="600" w:lineRule="exact"/>
        <w:jc w:val="left"/>
        <w:rPr>
          <w:rFonts w:ascii="黑体" w:eastAsia="黑体" w:hAnsi="黑体" w:cs="宋体"/>
          <w:color w:val="000000"/>
          <w:kern w:val="0"/>
        </w:rPr>
      </w:pPr>
      <w:r w:rsidRPr="00F62BB9">
        <w:rPr>
          <w:rFonts w:ascii="黑体" w:eastAsia="黑体" w:hAnsi="黑体" w:cs="宋体" w:hint="eastAsia"/>
          <w:color w:val="000000"/>
          <w:kern w:val="0"/>
        </w:rPr>
        <w:t>附件</w:t>
      </w:r>
    </w:p>
    <w:p w:rsidR="00F62BB9" w:rsidRPr="00F62BB9" w:rsidRDefault="00F62BB9" w:rsidP="00F62BB9">
      <w:pPr>
        <w:spacing w:line="600" w:lineRule="exact"/>
        <w:jc w:val="center"/>
        <w:rPr>
          <w:rFonts w:ascii="Calibri" w:eastAsia="宋体" w:hAnsi="Calibri"/>
          <w:sz w:val="21"/>
          <w:szCs w:val="24"/>
        </w:rPr>
      </w:pPr>
      <w:r w:rsidRPr="00F62BB9">
        <w:rPr>
          <w:rFonts w:ascii="方正小标宋简体" w:eastAsia="方正小标宋简体" w:hAnsi="宋体" w:cs="宋体" w:hint="eastAsia"/>
          <w:color w:val="000000"/>
          <w:kern w:val="0"/>
          <w:sz w:val="44"/>
          <w:szCs w:val="44"/>
        </w:rPr>
        <w:t>临潼区促进新时代退役军人就业创业工作任务清单</w:t>
      </w:r>
    </w:p>
    <w:tbl>
      <w:tblPr>
        <w:tblW w:w="14758" w:type="dxa"/>
        <w:tblInd w:w="93" w:type="dxa"/>
        <w:tblLook w:val="04A0"/>
      </w:tblPr>
      <w:tblGrid>
        <w:gridCol w:w="1220"/>
        <w:gridCol w:w="1080"/>
        <w:gridCol w:w="692"/>
        <w:gridCol w:w="7088"/>
        <w:gridCol w:w="1985"/>
        <w:gridCol w:w="2693"/>
      </w:tblGrid>
      <w:tr w:rsidR="00F62BB9" w:rsidRPr="00F62BB9" w:rsidTr="00B270E6">
        <w:trPr>
          <w:trHeight w:val="555"/>
        </w:trPr>
        <w:tc>
          <w:tcPr>
            <w:tcW w:w="1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项目</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类别</w:t>
            </w: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序号</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内容</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责任单位</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黑体" w:eastAsia="黑体" w:hAnsi="黑体" w:cs="宋体"/>
                <w:bCs/>
                <w:color w:val="000000"/>
                <w:kern w:val="0"/>
                <w:sz w:val="21"/>
                <w:szCs w:val="21"/>
              </w:rPr>
            </w:pPr>
            <w:r w:rsidRPr="00F62BB9">
              <w:rPr>
                <w:rFonts w:ascii="黑体" w:eastAsia="黑体" w:hAnsi="黑体" w:cs="宋体" w:hint="eastAsia"/>
                <w:bCs/>
                <w:color w:val="000000"/>
                <w:kern w:val="0"/>
                <w:sz w:val="21"/>
                <w:szCs w:val="21"/>
              </w:rPr>
              <w:t>配合单位</w:t>
            </w:r>
          </w:p>
        </w:tc>
      </w:tr>
      <w:tr w:rsidR="00F62BB9" w:rsidRPr="00F62BB9" w:rsidTr="00B270E6">
        <w:trPr>
          <w:trHeight w:val="1455"/>
        </w:trPr>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切实加强教育培训，提升就业创业能力</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开展退役前技能储备培训</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发扬我区双拥工作优良传统，与部队积极对接，深入开展“送政策进军营”活动。向驻临部队官兵介绍我区经济社会发展情况和就业形势，积极宣传退役军人教育培训政策，为部队开展退役前技能储备培训和职业指导提供帮助。</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区人社局、各驻临部队</w:t>
            </w:r>
          </w:p>
        </w:tc>
      </w:tr>
      <w:tr w:rsidR="00F62BB9" w:rsidRPr="00F62BB9" w:rsidTr="00B270E6">
        <w:trPr>
          <w:trHeight w:val="736"/>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筹集多方力量，组织退役军人职业技能承训机构,支持部队开展军人退役前技能培训，根据部队需要开展“培训进军营活动”。</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各培训院校、各驻临部队</w:t>
            </w:r>
          </w:p>
        </w:tc>
      </w:tr>
      <w:tr w:rsidR="00F62BB9" w:rsidRPr="00F62BB9" w:rsidTr="00B270E6">
        <w:trPr>
          <w:trHeight w:val="918"/>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抓好退役军人学历提升工作</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3</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做好自主就业退役士兵资格认证，落实退役军人学费资助政策，将符合条件退役士兵纳入到省级部门组织的高等职业院校招生范围。</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区教育局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97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4</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对于未享受免费技能培训的退役士兵，在高职院校学习期间给予每人每月300元生活补助，每年不超过3000元。</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区财政局、区教育局</w:t>
            </w:r>
          </w:p>
        </w:tc>
      </w:tr>
      <w:tr w:rsidR="00F62BB9" w:rsidRPr="00F62BB9" w:rsidTr="00B270E6">
        <w:trPr>
          <w:trHeight w:val="106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落实退役士兵技能</w:t>
            </w:r>
            <w:r w:rsidRPr="00F62BB9">
              <w:rPr>
                <w:rFonts w:ascii="宋体" w:eastAsia="宋体" w:hAnsi="宋体" w:cs="宋体" w:hint="eastAsia"/>
                <w:color w:val="000000"/>
                <w:kern w:val="0"/>
                <w:sz w:val="21"/>
                <w:szCs w:val="21"/>
              </w:rPr>
              <w:lastRenderedPageBreak/>
              <w:t>培训工作</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lastRenderedPageBreak/>
              <w:t>5</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自主就业退役士兵退役后参加提供的免费职业技能培训，并享受培训期间生活补助。</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131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6</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鼓励企业职工培训中心面向本企业退役军人开展职业技能培训，按照规定享受企业职工技能提升和转岗转业培训补贴。</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795"/>
        </w:trPr>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lastRenderedPageBreak/>
              <w:t>加大就业支持力度，提供就业优待条件</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建立健全退役军人就业创业服务机制</w:t>
            </w:r>
          </w:p>
        </w:tc>
        <w:tc>
          <w:tcPr>
            <w:tcW w:w="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7</w:t>
            </w:r>
          </w:p>
        </w:tc>
        <w:tc>
          <w:tcPr>
            <w:tcW w:w="70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建立动态退役军人就业工作台账。</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各街道</w:t>
            </w:r>
          </w:p>
        </w:tc>
      </w:tr>
      <w:tr w:rsidR="00F62BB9" w:rsidRPr="00F62BB9" w:rsidTr="00B270E6">
        <w:trPr>
          <w:trHeight w:val="1260"/>
        </w:trPr>
        <w:tc>
          <w:tcPr>
            <w:tcW w:w="1220" w:type="dxa"/>
            <w:vMerge/>
            <w:tcBorders>
              <w:top w:val="single" w:sz="4" w:space="0" w:color="auto"/>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8</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落实就业援助计划，通过就业形势介绍、政策咨询、心理调适、职业规划、上门送岗等形式为辖区内就业困难的退役军人提供“一对一”、“面对面”的优质就业服务。</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各街道</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129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发挥政府就业引导作用</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9</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全区各级机关、社会团体、企业事业单位在招收录用工作人员或聘用职工时，对退役军人专业、年龄和学历条件适当放宽，在军队服役经历视同基层工作经历，服役年限计算为工龄，同等条件下优先招录聘用退役军人。</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区委组织部</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区人社局、区级各招工单位</w:t>
            </w:r>
          </w:p>
        </w:tc>
      </w:tr>
      <w:tr w:rsidR="00F62BB9" w:rsidRPr="00F62BB9" w:rsidTr="00B270E6">
        <w:trPr>
          <w:trHeight w:val="91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10</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在军队服役5年（含）以上的高校毕业生士兵退役后可报考面向服务基层项目人员定向招录的职位，同服务基层项目人员共享公务员定向考录计划。</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区委组织部</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96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11</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全区招录一线执法职位、街道专职人民武装干事职位招录，拿出一定名额面向大学生退役军人。</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区委组织部</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123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12</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在我区退役军人服务体系建设中，优先任用符合条件退役军人，全区退役军人服务体系中退役军人占比不低于20%。</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各街道</w:t>
            </w:r>
          </w:p>
        </w:tc>
      </w:tr>
      <w:tr w:rsidR="00F62BB9" w:rsidRPr="00F62BB9" w:rsidTr="00B270E6">
        <w:trPr>
          <w:trHeight w:val="123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13</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不断提升转业士官安置岗位质量，选拔转业士官进入街办退役军人服务站工作。</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区委编办、</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1350"/>
        </w:trPr>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加大就业支持力度，提供就业优待条件</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发挥政府就业引导作用</w:t>
            </w: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14</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选派退役军人到非公有制经济组织和社会组织中担任党建指导员，鼓励退役军人从事辅警、城市管理等工作、回村（社区）参选“两委”成员、担任社区工作者等。</w:t>
            </w:r>
          </w:p>
        </w:tc>
        <w:tc>
          <w:tcPr>
            <w:tcW w:w="4678" w:type="dxa"/>
            <w:gridSpan w:val="2"/>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区委组织部、公安临潼分局、区城管执法局、</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区民政局根据各自职责</w:t>
            </w:r>
          </w:p>
        </w:tc>
      </w:tr>
      <w:tr w:rsidR="00F62BB9" w:rsidRPr="00F62BB9" w:rsidTr="00B270E6">
        <w:trPr>
          <w:trHeight w:val="157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15</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进一步加强公益性岗位管理，通过公益性岗位帮助大龄、残疾等就业困难退役军人实现就业，及时为零就业退役军人提供就业服务和就业岗位，确保退役军人零就业家庭在20个工作日内实现动态清零，有劳动能力的残疾退役士兵优先享受国家、省、市规定的就业优惠政策。</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区残联</w:t>
            </w:r>
          </w:p>
        </w:tc>
      </w:tr>
      <w:tr w:rsidR="00F62BB9" w:rsidRPr="00F62BB9" w:rsidTr="00B270E6">
        <w:trPr>
          <w:trHeight w:val="75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组建退役军人就业工作联盟</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16</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动员辖区企业，组织成立退役军人就业联盟，开发适合退役军人特点工作岗位，吸引退役军人就地就近上岗。</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区科工商务局</w:t>
            </w:r>
          </w:p>
        </w:tc>
      </w:tr>
      <w:tr w:rsidR="00F62BB9" w:rsidRPr="00F62BB9" w:rsidTr="00B270E6">
        <w:trPr>
          <w:trHeight w:val="78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17</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每年组织1次退役军人就业服务季活动，充分利用网络平台，紧扣退役军人返乡时间节点，组织退役军人专场招聘会。</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r>
      <w:tr w:rsidR="00F62BB9" w:rsidRPr="00F62BB9" w:rsidTr="00B270E6">
        <w:trPr>
          <w:trHeight w:val="108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落实企业招收退役军人优待措施</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18</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用人单位招用领取失业保险金期间的失业退役军人，并与之签订1年以上劳动合同的，按照每人1000元的标准由区人力资源和社会保障局从失业保险基金中给予用人单位一次性就业补贴。</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 xml:space="preserve">　</w:t>
            </w:r>
          </w:p>
        </w:tc>
      </w:tr>
      <w:tr w:rsidR="00F62BB9" w:rsidRPr="00F62BB9" w:rsidTr="00B270E6">
        <w:trPr>
          <w:trHeight w:val="102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19</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企业招用自主就业退役士兵，与其签订1年以上劳动合同并交纳社会保险的当月起，在3年内（36个月）内按实际招用人数予以定额依次扣税费，定额标准为每人每年9000元。</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区税务局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r>
      <w:tr w:rsidR="00F62BB9" w:rsidRPr="00F62BB9" w:rsidTr="00B270E6">
        <w:trPr>
          <w:trHeight w:val="106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20</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对经依法行政许可、注册登记的经营性人力资源服务和劳务派遣服务机构，为符合条件退役军人提供免费职业介绍并实现就业的，按规定由区人力资源和社会保障局给予职业介绍补贴。</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2040"/>
        </w:trPr>
        <w:tc>
          <w:tcPr>
            <w:tcW w:w="1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加大就业支持力度，提供就业优待条件</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建立退役军人就业创业褒扬工作机制</w:t>
            </w:r>
          </w:p>
        </w:tc>
        <w:tc>
          <w:tcPr>
            <w:tcW w:w="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21</w:t>
            </w:r>
          </w:p>
        </w:tc>
        <w:tc>
          <w:tcPr>
            <w:tcW w:w="70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按照退役军人“思想政治文化年”建设要求，建立退役军人就业创业褒扬工作机制，对我区退役军人就业创业工作突出单位进行表彰；组织“临潼区级军民融合发展企业家”“临潼区优秀退役军人企业家”“临潼区优秀拥军企业家”等活动评选。</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区科工商务局</w:t>
            </w:r>
          </w:p>
        </w:tc>
      </w:tr>
      <w:tr w:rsidR="00F62BB9" w:rsidRPr="00F62BB9" w:rsidTr="00B270E6">
        <w:trPr>
          <w:trHeight w:val="900"/>
        </w:trPr>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不断完善政策措施，积极优化创业环境</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抓好退役军人创业培训</w:t>
            </w: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22</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依托认定的退役军人就业创业示范基地，面向有创业愿望的退役军人开展创业培训、创业指导等服务。</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r>
      <w:tr w:rsidR="00F62BB9" w:rsidRPr="00F62BB9" w:rsidTr="00B270E6">
        <w:trPr>
          <w:trHeight w:val="82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23</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抓好退役军人就业创业基地的考核管理及资金支持等工作。</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区人社局、区财政局</w:t>
            </w:r>
          </w:p>
        </w:tc>
      </w:tr>
      <w:tr w:rsidR="00F62BB9" w:rsidRPr="00F62BB9" w:rsidTr="00B270E6">
        <w:trPr>
          <w:trHeight w:val="103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落实退役军人创业优待措施</w:t>
            </w: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24</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退役军人初次创业入驻由区人力资源和社会保障部门认定创业孵化基地并签订孵化协议的，可接受不超过3年的创业孵化，享受低租金或免租金额办公经营场所和创业孵化基地提供的创业服务。</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121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25</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自主就业退役士兵从事个体经营的，自办理工商登记当月起，在3年（36个月）内每户每年14400元为限额依次扣减其当年实际应缴纳的增值税、城市维护建设税、教育费附加、地方教育附加和个人所得税。</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区税务局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 xml:space="preserve">　区退役军人事务局</w:t>
            </w:r>
          </w:p>
        </w:tc>
      </w:tr>
      <w:tr w:rsidR="00F62BB9" w:rsidRPr="00F62BB9" w:rsidTr="00B270E6">
        <w:trPr>
          <w:trHeight w:val="121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26</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退役军人从事农、林、牧、渔业项目的生产经营所得，按规定免征或减半征收企业所得税，从事符合条件的环境保护、节能节水项目的生产经营所得，享受企业所得税三免三减半，开办高新技术企业的，依法减按15%的税率征收企业所得税。</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区税务局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r>
      <w:tr w:rsidR="00F62BB9" w:rsidRPr="00F62BB9" w:rsidTr="00B270E6">
        <w:trPr>
          <w:trHeight w:val="1530"/>
        </w:trPr>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不断完善政策措施，积极优化创业环境</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加大退役军人创业资金支持</w:t>
            </w:r>
          </w:p>
        </w:tc>
        <w:tc>
          <w:tcPr>
            <w:tcW w:w="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27</w:t>
            </w:r>
          </w:p>
        </w:tc>
        <w:tc>
          <w:tcPr>
            <w:tcW w:w="70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退役军人初次创办小微企业或从事个体经营6个月以上，按规定由区人力资源和社会保障部门给予一次性创业补贴5000元；支持退役军人创办军民融合企业，鼓励退役军人创办的企业参与国防建设，对退役军人创办的军民融合企业按照省市退役军人事务部门规定给予一次性补贴和资助。</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区科工商务局、区财政局、区退役军人事务局</w:t>
            </w:r>
          </w:p>
        </w:tc>
      </w:tr>
      <w:tr w:rsidR="00F62BB9" w:rsidRPr="00F62BB9" w:rsidTr="00B270E6">
        <w:trPr>
          <w:trHeight w:val="1260"/>
        </w:trPr>
        <w:tc>
          <w:tcPr>
            <w:tcW w:w="1220" w:type="dxa"/>
            <w:vMerge/>
            <w:tcBorders>
              <w:top w:val="single" w:sz="4" w:space="0" w:color="auto"/>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28</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退役军人自主创业者（包括合伙创业或组织起来共同创业的）及符合规定条件的小微企业，其自筹资金不足的，且有一定偿还能力，可以向区人力资源和社会保障部门所属的担保机构申请创业担保贷款。</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1755"/>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29</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退役军人申请创业担保贷款，在提高风险评估能力的基础上，逐步降低反担保。对自主择业军转干部及信用乡村推荐的退役军人申请创业担保贷款时取消反担保，对还款积极、带动就业能力强、创业项目号的退役军人和小微企业，可继续提供创业担保贷款贴息，累计次数不超过3次。</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区人社局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r w:rsidR="00F62BB9" w:rsidRPr="00F62BB9" w:rsidTr="00B270E6">
        <w:trPr>
          <w:trHeight w:val="1020"/>
        </w:trPr>
        <w:tc>
          <w:tcPr>
            <w:tcW w:w="122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1080" w:type="dxa"/>
            <w:vMerge/>
            <w:tcBorders>
              <w:top w:val="nil"/>
              <w:left w:val="single" w:sz="4" w:space="0" w:color="auto"/>
              <w:bottom w:val="single" w:sz="4" w:space="0" w:color="auto"/>
              <w:right w:val="single" w:sz="4" w:space="0" w:color="auto"/>
            </w:tcBorders>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p>
        </w:tc>
        <w:tc>
          <w:tcPr>
            <w:tcW w:w="692"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30</w:t>
            </w:r>
          </w:p>
        </w:tc>
        <w:tc>
          <w:tcPr>
            <w:tcW w:w="7088"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left"/>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充分利用退役军人关爱基金就业创业类援助项目，探索我区退役军人创业专项贷款制度，充分调动我区退役军人创业积极性。</w:t>
            </w:r>
          </w:p>
        </w:tc>
        <w:tc>
          <w:tcPr>
            <w:tcW w:w="1985"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区退役军人事务局</w:t>
            </w:r>
          </w:p>
        </w:tc>
        <w:tc>
          <w:tcPr>
            <w:tcW w:w="2693" w:type="dxa"/>
            <w:tcBorders>
              <w:top w:val="nil"/>
              <w:left w:val="nil"/>
              <w:bottom w:val="single" w:sz="4" w:space="0" w:color="auto"/>
              <w:right w:val="single" w:sz="4" w:space="0" w:color="auto"/>
            </w:tcBorders>
            <w:shd w:val="clear" w:color="auto" w:fill="auto"/>
            <w:vAlign w:val="center"/>
            <w:hideMark/>
          </w:tcPr>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区慈善会、区人社局、</w:t>
            </w:r>
          </w:p>
          <w:p w:rsidR="00F62BB9" w:rsidRPr="00F62BB9" w:rsidRDefault="00F62BB9" w:rsidP="00F62BB9">
            <w:pPr>
              <w:widowControl/>
              <w:spacing w:line="400" w:lineRule="exact"/>
              <w:jc w:val="center"/>
              <w:rPr>
                <w:rFonts w:ascii="宋体" w:eastAsia="宋体" w:hAnsi="宋体" w:cs="宋体"/>
                <w:color w:val="000000"/>
                <w:kern w:val="0"/>
                <w:sz w:val="21"/>
                <w:szCs w:val="21"/>
              </w:rPr>
            </w:pPr>
            <w:r w:rsidRPr="00F62BB9">
              <w:rPr>
                <w:rFonts w:ascii="宋体" w:eastAsia="宋体" w:hAnsi="宋体" w:cs="宋体" w:hint="eastAsia"/>
                <w:color w:val="000000"/>
                <w:kern w:val="0"/>
                <w:sz w:val="21"/>
                <w:szCs w:val="21"/>
              </w:rPr>
              <w:t>区财政局</w:t>
            </w:r>
          </w:p>
        </w:tc>
      </w:tr>
    </w:tbl>
    <w:p w:rsidR="00F62BB9" w:rsidRPr="00F62BB9" w:rsidRDefault="00F62BB9" w:rsidP="00F62BB9">
      <w:pPr>
        <w:jc w:val="left"/>
        <w:rPr>
          <w:rFonts w:ascii="Calibri" w:eastAsia="宋体" w:hAnsi="Calibri"/>
          <w:sz w:val="21"/>
          <w:szCs w:val="24"/>
        </w:rPr>
      </w:pPr>
    </w:p>
    <w:p w:rsidR="00F62BB9" w:rsidRPr="00F62BB9" w:rsidRDefault="00F62BB9" w:rsidP="00F62BB9">
      <w:pPr>
        <w:jc w:val="left"/>
        <w:rPr>
          <w:rFonts w:ascii="Calibri" w:eastAsia="宋体" w:hAnsi="Calibri"/>
          <w:sz w:val="21"/>
          <w:szCs w:val="24"/>
        </w:rPr>
      </w:pPr>
    </w:p>
    <w:p w:rsidR="00F62BB9" w:rsidRPr="00F62BB9" w:rsidRDefault="00F62BB9" w:rsidP="00F62BB9">
      <w:pPr>
        <w:jc w:val="left"/>
        <w:rPr>
          <w:rFonts w:ascii="Calibri" w:eastAsia="宋体" w:hAnsi="Calibri"/>
          <w:sz w:val="21"/>
          <w:szCs w:val="24"/>
        </w:rPr>
      </w:pPr>
    </w:p>
    <w:p w:rsidR="00F62BB9" w:rsidRPr="00F62BB9" w:rsidRDefault="00F62BB9" w:rsidP="00F62BB9">
      <w:pPr>
        <w:jc w:val="left"/>
        <w:rPr>
          <w:rFonts w:ascii="Calibri" w:eastAsia="宋体" w:hAnsi="Calibri"/>
          <w:sz w:val="21"/>
          <w:szCs w:val="24"/>
        </w:rPr>
      </w:pPr>
    </w:p>
    <w:p w:rsidR="00116E4E" w:rsidRPr="00F62BB9" w:rsidRDefault="00116E4E" w:rsidP="00F62BB9">
      <w:pPr>
        <w:rPr>
          <w:szCs w:val="24"/>
        </w:rPr>
      </w:pPr>
    </w:p>
    <w:sectPr w:rsidR="00116E4E" w:rsidRPr="00F62BB9" w:rsidSect="00F62BB9">
      <w:footerReference w:type="even" r:id="rId7"/>
      <w:footerReference w:type="default" r:id="rId8"/>
      <w:footerReference w:type="first" r:id="rId9"/>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7091" w:rsidRDefault="00E67091" w:rsidP="001F5E93">
      <w:r>
        <w:separator/>
      </w:r>
    </w:p>
  </w:endnote>
  <w:endnote w:type="continuationSeparator" w:id="1">
    <w:p w:rsidR="00E67091" w:rsidRDefault="00E67091"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Arial Unicode MS"/>
    <w:charset w:val="86"/>
    <w:family w:val="auto"/>
    <w:pitch w:val="default"/>
    <w:sig w:usb0="00000001" w:usb1="080E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E50626"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E50626" w:rsidRPr="003876A0">
      <w:rPr>
        <w:rFonts w:ascii="宋体" w:eastAsia="宋体" w:hAnsi="宋体" w:hint="eastAsia"/>
        <w:sz w:val="28"/>
      </w:rPr>
      <w:fldChar w:fldCharType="separate"/>
    </w:r>
    <w:r>
      <w:rPr>
        <w:rFonts w:ascii="宋体" w:eastAsia="宋体" w:hAnsi="宋体"/>
        <w:noProof/>
        <w:sz w:val="28"/>
      </w:rPr>
      <w:t>16</w:t>
    </w:r>
    <w:r w:rsidR="00E50626"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E50626">
      <w:rPr>
        <w:rFonts w:ascii="宋体" w:hint="eastAsia"/>
        <w:sz w:val="28"/>
      </w:rPr>
      <w:fldChar w:fldCharType="begin"/>
    </w:r>
    <w:r>
      <w:rPr>
        <w:rFonts w:ascii="宋体" w:hint="eastAsia"/>
        <w:sz w:val="28"/>
      </w:rPr>
      <w:instrText xml:space="preserve"> PAGE \* Arabic </w:instrText>
    </w:r>
    <w:r w:rsidR="00E50626">
      <w:rPr>
        <w:rFonts w:ascii="宋体" w:hint="eastAsia"/>
        <w:sz w:val="28"/>
      </w:rPr>
      <w:fldChar w:fldCharType="separate"/>
    </w:r>
    <w:r w:rsidR="00F62BB9">
      <w:rPr>
        <w:rFonts w:ascii="宋体"/>
        <w:noProof/>
        <w:sz w:val="28"/>
      </w:rPr>
      <w:t>6</w:t>
    </w:r>
    <w:r w:rsidR="00E50626">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7091" w:rsidRDefault="00E67091" w:rsidP="001F5E93">
      <w:r>
        <w:separator/>
      </w:r>
    </w:p>
  </w:footnote>
  <w:footnote w:type="continuationSeparator" w:id="1">
    <w:p w:rsidR="00E67091" w:rsidRDefault="00E67091"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8DFA627"/>
    <w:multiLevelType w:val="singleLevel"/>
    <w:tmpl w:val="E8DFA627"/>
    <w:lvl w:ilvl="0">
      <w:start w:val="1"/>
      <w:numFmt w:val="decimal"/>
      <w:suff w:val="nothing"/>
      <w:lvlText w:val="%1．"/>
      <w:lvlJc w:val="left"/>
    </w:lvl>
  </w:abstractNum>
  <w:abstractNum w:abstractNumId="3">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056D7273"/>
    <w:multiLevelType w:val="singleLevel"/>
    <w:tmpl w:val="056D7273"/>
    <w:lvl w:ilvl="0">
      <w:start w:val="1"/>
      <w:numFmt w:val="decimal"/>
      <w:suff w:val="nothing"/>
      <w:lvlText w:val="%1．"/>
      <w:lvlJc w:val="left"/>
    </w:lvl>
  </w:abstractNum>
  <w:abstractNum w:abstractNumId="5">
    <w:nsid w:val="22DCB23B"/>
    <w:multiLevelType w:val="singleLevel"/>
    <w:tmpl w:val="22DCB23B"/>
    <w:lvl w:ilvl="0">
      <w:start w:val="1"/>
      <w:numFmt w:val="decimal"/>
      <w:suff w:val="nothing"/>
      <w:lvlText w:val="%1．"/>
      <w:lvlJc w:val="left"/>
    </w:lvl>
  </w:abstractNum>
  <w:abstractNum w:abstractNumId="6">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3A69B42F"/>
    <w:multiLevelType w:val="singleLevel"/>
    <w:tmpl w:val="3A69B42F"/>
    <w:lvl w:ilvl="0">
      <w:start w:val="1"/>
      <w:numFmt w:val="decimal"/>
      <w:lvlText w:val="%1."/>
      <w:lvlJc w:val="left"/>
      <w:pPr>
        <w:ind w:left="425" w:hanging="425"/>
      </w:pPr>
      <w:rPr>
        <w:rFonts w:cs="Times New Roman" w:hint="default"/>
      </w:rPr>
    </w:lvl>
  </w:abstractNum>
  <w:abstractNum w:abstractNumId="8">
    <w:nsid w:val="3CD6AC3D"/>
    <w:multiLevelType w:val="singleLevel"/>
    <w:tmpl w:val="3CD6AC3D"/>
    <w:lvl w:ilvl="0">
      <w:start w:val="1"/>
      <w:numFmt w:val="decimal"/>
      <w:suff w:val="nothing"/>
      <w:lvlText w:val="%1．"/>
      <w:lvlJc w:val="left"/>
    </w:lvl>
  </w:abstractNum>
  <w:num w:numId="1">
    <w:abstractNumId w:val="3"/>
  </w:num>
  <w:num w:numId="2">
    <w:abstractNumId w:val="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157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56821"/>
    <w:rsid w:val="00061FAB"/>
    <w:rsid w:val="00067280"/>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557D7"/>
    <w:rsid w:val="00272687"/>
    <w:rsid w:val="002C465E"/>
    <w:rsid w:val="002D3903"/>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12A2B"/>
    <w:rsid w:val="0043071B"/>
    <w:rsid w:val="0044633E"/>
    <w:rsid w:val="0048244E"/>
    <w:rsid w:val="00483818"/>
    <w:rsid w:val="0048410C"/>
    <w:rsid w:val="00492DD7"/>
    <w:rsid w:val="004E2031"/>
    <w:rsid w:val="004F0EC2"/>
    <w:rsid w:val="004F7249"/>
    <w:rsid w:val="004F7E7B"/>
    <w:rsid w:val="005227D3"/>
    <w:rsid w:val="00531984"/>
    <w:rsid w:val="00537CFD"/>
    <w:rsid w:val="005C610F"/>
    <w:rsid w:val="006153DC"/>
    <w:rsid w:val="0064014E"/>
    <w:rsid w:val="006451F4"/>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67743"/>
    <w:rsid w:val="00876B08"/>
    <w:rsid w:val="00880DAE"/>
    <w:rsid w:val="008836B0"/>
    <w:rsid w:val="008A4EE1"/>
    <w:rsid w:val="008B1A4A"/>
    <w:rsid w:val="008D38BB"/>
    <w:rsid w:val="0094088D"/>
    <w:rsid w:val="009447A9"/>
    <w:rsid w:val="00971391"/>
    <w:rsid w:val="0097334A"/>
    <w:rsid w:val="00993D7C"/>
    <w:rsid w:val="00996769"/>
    <w:rsid w:val="009F3AC3"/>
    <w:rsid w:val="00A25DB2"/>
    <w:rsid w:val="00A363F2"/>
    <w:rsid w:val="00A36837"/>
    <w:rsid w:val="00A36AB3"/>
    <w:rsid w:val="00A40956"/>
    <w:rsid w:val="00AE6349"/>
    <w:rsid w:val="00B62E90"/>
    <w:rsid w:val="00B83801"/>
    <w:rsid w:val="00B83C9C"/>
    <w:rsid w:val="00B87365"/>
    <w:rsid w:val="00BB1C35"/>
    <w:rsid w:val="00BC5053"/>
    <w:rsid w:val="00BC78D4"/>
    <w:rsid w:val="00BD051F"/>
    <w:rsid w:val="00BE6DAF"/>
    <w:rsid w:val="00BE6EF3"/>
    <w:rsid w:val="00C0599A"/>
    <w:rsid w:val="00C43D67"/>
    <w:rsid w:val="00C50256"/>
    <w:rsid w:val="00C926A4"/>
    <w:rsid w:val="00CD5CA1"/>
    <w:rsid w:val="00CD7445"/>
    <w:rsid w:val="00CE6157"/>
    <w:rsid w:val="00CF0514"/>
    <w:rsid w:val="00CF50E3"/>
    <w:rsid w:val="00CF6429"/>
    <w:rsid w:val="00D01562"/>
    <w:rsid w:val="00D1103C"/>
    <w:rsid w:val="00D46DD6"/>
    <w:rsid w:val="00D50988"/>
    <w:rsid w:val="00D5366B"/>
    <w:rsid w:val="00D611BE"/>
    <w:rsid w:val="00D631CC"/>
    <w:rsid w:val="00D70AAD"/>
    <w:rsid w:val="00DB4446"/>
    <w:rsid w:val="00DE50E7"/>
    <w:rsid w:val="00DE64C1"/>
    <w:rsid w:val="00DF6A84"/>
    <w:rsid w:val="00E22AC9"/>
    <w:rsid w:val="00E40DBE"/>
    <w:rsid w:val="00E43060"/>
    <w:rsid w:val="00E47F6A"/>
    <w:rsid w:val="00E50626"/>
    <w:rsid w:val="00E57353"/>
    <w:rsid w:val="00E57C4A"/>
    <w:rsid w:val="00E63F7F"/>
    <w:rsid w:val="00E65819"/>
    <w:rsid w:val="00E67091"/>
    <w:rsid w:val="00E807DF"/>
    <w:rsid w:val="00E946EB"/>
    <w:rsid w:val="00EA2565"/>
    <w:rsid w:val="00EC3534"/>
    <w:rsid w:val="00ED013E"/>
    <w:rsid w:val="00ED0E8F"/>
    <w:rsid w:val="00ED6749"/>
    <w:rsid w:val="00F00262"/>
    <w:rsid w:val="00F009FD"/>
    <w:rsid w:val="00F154DD"/>
    <w:rsid w:val="00F223C9"/>
    <w:rsid w:val="00F36420"/>
    <w:rsid w:val="00F45D71"/>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nhideWhenUsed="0" w:qFormat="1"/>
    <w:lsdException w:name="Emphasis" w:semiHidden="0" w:unhideWhenUsed="0" w:qFormat="1"/>
    <w:lsdException w:name="Plain Text"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99"/>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uiPriority w:val="99"/>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uiPriority w:val="99"/>
    <w:qFormat/>
    <w:rsid w:val="00DE50E7"/>
    <w:rPr>
      <w:rFonts w:ascii="宋体" w:eastAsia="宋体" w:hAnsi="Courier New"/>
      <w:sz w:val="21"/>
      <w:szCs w:val="20"/>
    </w:rPr>
  </w:style>
  <w:style w:type="character" w:customStyle="1" w:styleId="Char5">
    <w:name w:val="纯文本 Char"/>
    <w:basedOn w:val="a1"/>
    <w:link w:val="af1"/>
    <w:uiPriority w:val="99"/>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uiPriority w:val="99"/>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1553</Words>
  <Characters>1570</Characters>
  <Application>Microsoft Office Word</Application>
  <DocSecurity>0</DocSecurity>
  <Lines>71</Lines>
  <Paragraphs>34</Paragraphs>
  <ScaleCrop>false</ScaleCrop>
  <Company>微软中国</Company>
  <LinksUpToDate>false</LinksUpToDate>
  <CharactersWithSpaces>3089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58</cp:revision>
  <dcterms:created xsi:type="dcterms:W3CDTF">2018-12-24T07:20:00Z</dcterms:created>
  <dcterms:modified xsi:type="dcterms:W3CDTF">2020-08-06T08:55:00Z</dcterms:modified>
</cp:coreProperties>
</file>