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2D" w:rsidRDefault="00245E2D" w:rsidP="00245E2D">
      <w:pPr>
        <w:jc w:val="center"/>
        <w:rPr>
          <w:rFonts w:ascii="仿宋" w:eastAsia="仿宋" w:hAnsi="仿宋"/>
          <w:sz w:val="32"/>
          <w:szCs w:val="32"/>
        </w:rPr>
      </w:pPr>
      <w:r w:rsidRPr="002F3DB3">
        <w:rPr>
          <w:rFonts w:ascii="方正小标宋简体" w:eastAsia="方正小标宋简体" w:hAnsi="仿宋" w:hint="eastAsia"/>
          <w:w w:val="120"/>
          <w:kern w:val="6"/>
          <w:sz w:val="44"/>
          <w:szCs w:val="44"/>
        </w:rPr>
        <w:t>中共西安市临潼区委政法委员会</w:t>
      </w:r>
      <w:r w:rsidRPr="00245E2D">
        <w:rPr>
          <w:rFonts w:ascii="方正小标宋简体" w:eastAsia="方正小标宋简体" w:hAnsi="仿宋" w:hint="eastAsia"/>
          <w:w w:val="120"/>
          <w:kern w:val="6"/>
          <w:sz w:val="44"/>
          <w:szCs w:val="44"/>
        </w:rPr>
        <w:t>2018年度部门决算说明</w:t>
      </w:r>
    </w:p>
    <w:p w:rsidR="00245E2D" w:rsidRDefault="00245E2D" w:rsidP="00245E2D">
      <w:pPr>
        <w:ind w:firstLineChars="200" w:firstLine="640"/>
        <w:jc w:val="left"/>
        <w:rPr>
          <w:rFonts w:ascii="黑体" w:eastAsia="黑体" w:hAnsi="黑体" w:cs="黑体"/>
          <w:sz w:val="32"/>
          <w:szCs w:val="32"/>
        </w:rPr>
      </w:pPr>
    </w:p>
    <w:p w:rsidR="00245E2D" w:rsidRDefault="00245E2D" w:rsidP="00245E2D">
      <w:pPr>
        <w:ind w:firstLineChars="200" w:firstLine="640"/>
        <w:jc w:val="left"/>
        <w:rPr>
          <w:rFonts w:ascii="黑体" w:eastAsia="黑体" w:hAnsi="黑体" w:cs="黑体"/>
          <w:sz w:val="32"/>
          <w:szCs w:val="32"/>
        </w:rPr>
      </w:pPr>
      <w:r>
        <w:rPr>
          <w:rFonts w:ascii="黑体" w:eastAsia="黑体" w:hAnsi="黑体" w:cs="黑体" w:hint="eastAsia"/>
          <w:sz w:val="32"/>
          <w:szCs w:val="32"/>
        </w:rPr>
        <w:t>一、部门主要职责</w:t>
      </w:r>
    </w:p>
    <w:p w:rsidR="00245E2D" w:rsidRPr="0084166F" w:rsidRDefault="00245E2D" w:rsidP="00245E2D">
      <w:pPr>
        <w:spacing w:line="580" w:lineRule="exact"/>
        <w:rPr>
          <w:rFonts w:ascii="仿宋_GB2312" w:eastAsia="仿宋_GB2312" w:hAnsi="宋体" w:cs="宋体"/>
          <w:color w:val="000000"/>
          <w:kern w:val="0"/>
          <w:sz w:val="32"/>
          <w:szCs w:val="32"/>
        </w:rPr>
      </w:pPr>
      <w:r w:rsidRPr="0084166F">
        <w:rPr>
          <w:rFonts w:ascii="仿宋_GB2312" w:eastAsia="仿宋_GB2312" w:hint="eastAsia"/>
          <w:sz w:val="32"/>
          <w:szCs w:val="32"/>
        </w:rPr>
        <w:t>（一）部门主要职责</w:t>
      </w:r>
    </w:p>
    <w:p w:rsidR="00245E2D" w:rsidRPr="0084166F" w:rsidRDefault="00245E2D" w:rsidP="00245E2D">
      <w:pPr>
        <w:ind w:firstLineChars="200" w:firstLine="640"/>
        <w:rPr>
          <w:rFonts w:ascii="仿宋_GB2312" w:eastAsia="仿宋_GB2312" w:hAnsi="宋体" w:cs="宋体"/>
          <w:color w:val="000000"/>
          <w:kern w:val="0"/>
          <w:sz w:val="32"/>
          <w:szCs w:val="32"/>
        </w:rPr>
      </w:pPr>
      <w:r w:rsidRPr="0084166F">
        <w:rPr>
          <w:rFonts w:ascii="仿宋_GB2312" w:eastAsia="仿宋_GB2312" w:hAnsi="宋体" w:cs="宋体" w:hint="eastAsia"/>
          <w:color w:val="000000"/>
          <w:kern w:val="0"/>
          <w:sz w:val="32"/>
          <w:szCs w:val="32"/>
        </w:rPr>
        <w:t>1、根据中央、省、市为对政法工作的指示和决定统一全区政法各部门的思想和行动，根据上级党委及政法委的部署，对政法工作</w:t>
      </w:r>
      <w:proofErr w:type="gramStart"/>
      <w:r w:rsidRPr="0084166F">
        <w:rPr>
          <w:rFonts w:ascii="仿宋_GB2312" w:eastAsia="仿宋_GB2312" w:hAnsi="宋体" w:cs="宋体" w:hint="eastAsia"/>
          <w:color w:val="000000"/>
          <w:kern w:val="0"/>
          <w:sz w:val="32"/>
          <w:szCs w:val="32"/>
        </w:rPr>
        <w:t>作出</w:t>
      </w:r>
      <w:proofErr w:type="gramEnd"/>
      <w:r w:rsidRPr="0084166F">
        <w:rPr>
          <w:rFonts w:ascii="仿宋_GB2312" w:eastAsia="仿宋_GB2312" w:hAnsi="宋体" w:cs="宋体" w:hint="eastAsia"/>
          <w:color w:val="000000"/>
          <w:kern w:val="0"/>
          <w:sz w:val="32"/>
          <w:szCs w:val="32"/>
        </w:rPr>
        <w:t>部署和安排，并对落实情况加强监督检查。</w:t>
      </w:r>
      <w:r w:rsidRPr="0084166F">
        <w:rPr>
          <w:rFonts w:ascii="仿宋_GB2312" w:eastAsia="仿宋_GB2312" w:hAnsi="宋体" w:cs="宋体" w:hint="eastAsia"/>
          <w:color w:val="000000"/>
          <w:kern w:val="0"/>
          <w:sz w:val="32"/>
          <w:szCs w:val="32"/>
        </w:rPr>
        <w:t> </w:t>
      </w:r>
      <w:r w:rsidRPr="0084166F">
        <w:rPr>
          <w:rFonts w:ascii="仿宋_GB2312" w:eastAsia="仿宋_GB2312" w:hAnsi="宋体" w:cs="宋体" w:hint="eastAsia"/>
          <w:color w:val="000000"/>
          <w:kern w:val="0"/>
          <w:sz w:val="32"/>
          <w:szCs w:val="32"/>
        </w:rPr>
        <w:br/>
        <w:t xml:space="preserve">   2、组织、协调和指导维护全区社会、政治稳定工作。</w:t>
      </w:r>
      <w:r w:rsidRPr="0084166F">
        <w:rPr>
          <w:rFonts w:ascii="仿宋_GB2312" w:eastAsia="仿宋_GB2312" w:hAnsi="宋体" w:cs="宋体" w:hint="eastAsia"/>
          <w:color w:val="000000"/>
          <w:kern w:val="0"/>
          <w:sz w:val="32"/>
          <w:szCs w:val="32"/>
        </w:rPr>
        <w:t> </w:t>
      </w:r>
      <w:r w:rsidRPr="0084166F">
        <w:rPr>
          <w:rFonts w:ascii="仿宋_GB2312" w:eastAsia="仿宋_GB2312" w:hAnsi="宋体" w:cs="宋体" w:hint="eastAsia"/>
          <w:color w:val="000000"/>
          <w:kern w:val="0"/>
          <w:sz w:val="32"/>
          <w:szCs w:val="32"/>
        </w:rPr>
        <w:br/>
        <w:t xml:space="preserve">   3、支持和监督区政法各部门依法行使职权，指导和协调区政法各部门在依法相互制约的同时紧密配合，研究、协调有争议重大、疑难案件。</w:t>
      </w:r>
      <w:r w:rsidRPr="0084166F">
        <w:rPr>
          <w:rFonts w:ascii="仿宋_GB2312" w:eastAsia="仿宋_GB2312" w:hAnsi="宋体" w:cs="宋体" w:hint="eastAsia"/>
          <w:color w:val="000000"/>
          <w:kern w:val="0"/>
          <w:sz w:val="32"/>
          <w:szCs w:val="32"/>
        </w:rPr>
        <w:t> </w:t>
      </w:r>
      <w:r w:rsidRPr="0084166F">
        <w:rPr>
          <w:rFonts w:ascii="仿宋_GB2312" w:eastAsia="仿宋_GB2312" w:hAnsi="宋体" w:cs="宋体" w:hint="eastAsia"/>
          <w:color w:val="000000"/>
          <w:kern w:val="0"/>
          <w:sz w:val="32"/>
          <w:szCs w:val="32"/>
        </w:rPr>
        <w:br/>
        <w:t xml:space="preserve">   4、检查区政法部门执行法律法规和党的方针政策的情况，协助有关部门查处政法干部的违法犯罪案件，研究制定严肃执法、落实党的方针政策的具体措施。</w:t>
      </w:r>
      <w:r w:rsidRPr="0084166F">
        <w:rPr>
          <w:rFonts w:ascii="仿宋_GB2312" w:eastAsia="仿宋_GB2312" w:hAnsi="宋体" w:cs="宋体" w:hint="eastAsia"/>
          <w:color w:val="000000"/>
          <w:kern w:val="0"/>
          <w:sz w:val="32"/>
          <w:szCs w:val="32"/>
        </w:rPr>
        <w:t> </w:t>
      </w:r>
      <w:r w:rsidRPr="0084166F">
        <w:rPr>
          <w:rFonts w:ascii="仿宋_GB2312" w:eastAsia="仿宋_GB2312" w:hAnsi="宋体" w:cs="宋体" w:hint="eastAsia"/>
          <w:color w:val="000000"/>
          <w:kern w:val="0"/>
          <w:sz w:val="32"/>
          <w:szCs w:val="32"/>
        </w:rPr>
        <w:br/>
        <w:t xml:space="preserve">   5、研究、制定加强政法队伍建设和领导班子建设的措施，协助考察、管理政法部门的领导干部。</w:t>
      </w:r>
      <w:r w:rsidRPr="0084166F">
        <w:rPr>
          <w:rFonts w:ascii="仿宋_GB2312" w:eastAsia="仿宋_GB2312" w:hAnsi="宋体" w:cs="宋体" w:hint="eastAsia"/>
          <w:color w:val="000000"/>
          <w:kern w:val="0"/>
          <w:sz w:val="32"/>
          <w:szCs w:val="32"/>
        </w:rPr>
        <w:t> </w:t>
      </w:r>
      <w:r w:rsidRPr="0084166F">
        <w:rPr>
          <w:rFonts w:ascii="仿宋_GB2312" w:eastAsia="仿宋_GB2312" w:hAnsi="宋体" w:cs="宋体" w:hint="eastAsia"/>
          <w:color w:val="000000"/>
          <w:kern w:val="0"/>
          <w:sz w:val="32"/>
          <w:szCs w:val="32"/>
        </w:rPr>
        <w:br/>
        <w:t xml:space="preserve">   6、依据上级关于社会治安综合治理的法律及规定，结合本地区实际，统一领导、部署本地区的综合治理工作。</w:t>
      </w:r>
      <w:r w:rsidRPr="0084166F">
        <w:rPr>
          <w:rFonts w:ascii="仿宋_GB2312" w:eastAsia="仿宋_GB2312" w:hAnsi="宋体" w:cs="宋体" w:hint="eastAsia"/>
          <w:color w:val="000000"/>
          <w:kern w:val="0"/>
          <w:sz w:val="32"/>
          <w:szCs w:val="32"/>
        </w:rPr>
        <w:t> </w:t>
      </w:r>
      <w:r w:rsidRPr="0084166F">
        <w:rPr>
          <w:rFonts w:ascii="仿宋_GB2312" w:eastAsia="仿宋_GB2312" w:hAnsi="宋体" w:cs="宋体" w:hint="eastAsia"/>
          <w:color w:val="000000"/>
          <w:kern w:val="0"/>
          <w:sz w:val="32"/>
          <w:szCs w:val="32"/>
        </w:rPr>
        <w:br/>
        <w:t xml:space="preserve">   7、认真落实综合治理领导责任制，实行目标管理，把综</w:t>
      </w:r>
      <w:r w:rsidRPr="0084166F">
        <w:rPr>
          <w:rFonts w:ascii="仿宋_GB2312" w:eastAsia="仿宋_GB2312" w:hAnsi="宋体" w:cs="宋体" w:hint="eastAsia"/>
          <w:color w:val="000000"/>
          <w:kern w:val="0"/>
          <w:sz w:val="32"/>
          <w:szCs w:val="32"/>
        </w:rPr>
        <w:lastRenderedPageBreak/>
        <w:t>合治理的各项任务落实到基层</w:t>
      </w:r>
      <w:r>
        <w:rPr>
          <w:rFonts w:ascii="仿宋_GB2312" w:eastAsia="仿宋_GB2312" w:hAnsi="宋体" w:cs="宋体" w:hint="eastAsia"/>
          <w:color w:val="000000"/>
          <w:kern w:val="0"/>
          <w:sz w:val="32"/>
          <w:szCs w:val="32"/>
        </w:rPr>
        <w:t>。</w:t>
      </w:r>
    </w:p>
    <w:p w:rsidR="00245E2D" w:rsidRPr="000F2564" w:rsidRDefault="00245E2D" w:rsidP="00245E2D">
      <w:pPr>
        <w:ind w:firstLineChars="150" w:firstLine="480"/>
        <w:rPr>
          <w:rFonts w:ascii="仿宋_GB2312" w:eastAsia="仿宋_GB2312" w:hAnsi="仿宋"/>
          <w:sz w:val="32"/>
          <w:szCs w:val="32"/>
        </w:rPr>
      </w:pPr>
      <w:r w:rsidRPr="0084166F">
        <w:rPr>
          <w:rFonts w:ascii="仿宋_GB2312" w:eastAsia="仿宋_GB2312" w:hAnsi="宋体" w:cs="宋体" w:hint="eastAsia"/>
          <w:color w:val="000000"/>
          <w:kern w:val="0"/>
          <w:sz w:val="32"/>
          <w:szCs w:val="32"/>
        </w:rPr>
        <w:t>8、定期分析本地区的治安形势和综合治理情况，提出相应的工作措施</w:t>
      </w:r>
      <w:r>
        <w:rPr>
          <w:rFonts w:ascii="仿宋_GB2312" w:eastAsia="仿宋_GB2312" w:hAnsi="宋体" w:cs="宋体" w:hint="eastAsia"/>
          <w:color w:val="000000"/>
          <w:kern w:val="0"/>
          <w:sz w:val="32"/>
          <w:szCs w:val="32"/>
        </w:rPr>
        <w:t>。</w:t>
      </w:r>
    </w:p>
    <w:p w:rsidR="00245E2D" w:rsidRDefault="00245E2D" w:rsidP="00245E2D">
      <w:pPr>
        <w:ind w:firstLineChars="200" w:firstLine="640"/>
        <w:rPr>
          <w:rFonts w:ascii="仿宋_GB2312" w:eastAsia="仿宋_GB2312" w:hAnsi="宋体" w:cs="宋体"/>
          <w:color w:val="000000"/>
          <w:kern w:val="0"/>
          <w:sz w:val="32"/>
          <w:szCs w:val="32"/>
        </w:rPr>
      </w:pPr>
      <w:r w:rsidRPr="0084166F">
        <w:rPr>
          <w:rFonts w:ascii="仿宋_GB2312" w:eastAsia="仿宋_GB2312" w:hAnsi="宋体" w:cs="宋体" w:hint="eastAsia"/>
          <w:color w:val="000000"/>
          <w:kern w:val="0"/>
          <w:sz w:val="32"/>
          <w:szCs w:val="32"/>
        </w:rPr>
        <w:t>9、开展调查研究，不断总结经验，指导面上工作，负责指导协调本地区各单位、各部门的综合治理工作，实行齐抓共管，充分发挥整体作用</w:t>
      </w:r>
      <w:r>
        <w:rPr>
          <w:rFonts w:ascii="仿宋_GB2312" w:eastAsia="仿宋_GB2312" w:hAnsi="宋体" w:cs="宋体" w:hint="eastAsia"/>
          <w:color w:val="000000"/>
          <w:kern w:val="0"/>
          <w:sz w:val="32"/>
          <w:szCs w:val="32"/>
        </w:rPr>
        <w:t>。</w:t>
      </w:r>
    </w:p>
    <w:p w:rsidR="00245E2D" w:rsidRDefault="00245E2D" w:rsidP="00245E2D">
      <w:pPr>
        <w:ind w:firstLineChars="200" w:firstLine="640"/>
        <w:rPr>
          <w:rFonts w:ascii="仿宋_GB2312" w:eastAsia="仿宋_GB2312" w:hAnsi="宋体" w:cs="宋体"/>
          <w:color w:val="000000"/>
          <w:kern w:val="0"/>
          <w:sz w:val="32"/>
          <w:szCs w:val="32"/>
        </w:rPr>
      </w:pPr>
      <w:r w:rsidRPr="0084166F">
        <w:rPr>
          <w:rFonts w:ascii="仿宋_GB2312" w:eastAsia="仿宋_GB2312" w:hAnsi="宋体" w:cs="宋体" w:hint="eastAsia"/>
          <w:color w:val="000000"/>
          <w:kern w:val="0"/>
          <w:sz w:val="32"/>
          <w:szCs w:val="32"/>
        </w:rPr>
        <w:t>10、加强对综合治理工作的检查、考核和监督，决定奖惩事项，提出奖惩建议和实行“一票否决制”的建议</w:t>
      </w:r>
      <w:r>
        <w:rPr>
          <w:rFonts w:ascii="仿宋_GB2312" w:eastAsia="仿宋_GB2312" w:hAnsi="宋体" w:cs="宋体" w:hint="eastAsia"/>
          <w:color w:val="000000"/>
          <w:kern w:val="0"/>
          <w:sz w:val="32"/>
          <w:szCs w:val="32"/>
        </w:rPr>
        <w:t>。</w:t>
      </w:r>
    </w:p>
    <w:p w:rsidR="00245E2D" w:rsidRPr="0084166F" w:rsidRDefault="00245E2D" w:rsidP="00245E2D">
      <w:pPr>
        <w:ind w:firstLineChars="200" w:firstLine="640"/>
        <w:rPr>
          <w:rFonts w:ascii="仿宋_GB2312" w:eastAsia="仿宋_GB2312" w:hAnsi="宋体" w:cs="宋体"/>
          <w:color w:val="000000"/>
          <w:kern w:val="0"/>
          <w:sz w:val="32"/>
          <w:szCs w:val="32"/>
        </w:rPr>
      </w:pPr>
      <w:r w:rsidRPr="0084166F">
        <w:rPr>
          <w:rFonts w:ascii="仿宋_GB2312" w:eastAsia="仿宋_GB2312" w:hAnsi="宋体" w:cs="宋体" w:hint="eastAsia"/>
          <w:color w:val="000000"/>
          <w:kern w:val="0"/>
          <w:sz w:val="32"/>
          <w:szCs w:val="32"/>
        </w:rPr>
        <w:t>11、办理区委和上级政法委员会交办的其他事项</w:t>
      </w:r>
      <w:r>
        <w:rPr>
          <w:rFonts w:ascii="仿宋_GB2312" w:eastAsia="仿宋_GB2312" w:hAnsi="宋体" w:cs="宋体" w:hint="eastAsia"/>
          <w:color w:val="000000"/>
          <w:kern w:val="0"/>
          <w:sz w:val="32"/>
          <w:szCs w:val="32"/>
        </w:rPr>
        <w:t>。</w:t>
      </w:r>
    </w:p>
    <w:p w:rsidR="00245E2D" w:rsidRDefault="00245E2D" w:rsidP="00245E2D">
      <w:pPr>
        <w:ind w:firstLineChars="200" w:firstLine="640"/>
        <w:rPr>
          <w:rFonts w:ascii="黑体" w:eastAsia="黑体" w:hAnsi="黑体" w:cs="黑体"/>
          <w:sz w:val="32"/>
          <w:szCs w:val="32"/>
        </w:rPr>
      </w:pPr>
      <w:r>
        <w:rPr>
          <w:rFonts w:ascii="黑体" w:eastAsia="黑体" w:hAnsi="黑体" w:cs="黑体" w:hint="eastAsia"/>
          <w:sz w:val="32"/>
          <w:szCs w:val="32"/>
        </w:rPr>
        <w:t>二、部门决算单位构成</w:t>
      </w:r>
    </w:p>
    <w:p w:rsidR="00245E2D" w:rsidRPr="000F2564" w:rsidRDefault="00245E2D" w:rsidP="00245E2D">
      <w:pPr>
        <w:ind w:firstLineChars="200" w:firstLine="640"/>
        <w:rPr>
          <w:rFonts w:ascii="仿宋_GB2312" w:eastAsia="仿宋_GB2312" w:hAnsi="仿宋"/>
          <w:sz w:val="32"/>
          <w:szCs w:val="32"/>
        </w:rPr>
      </w:pPr>
      <w:r w:rsidRPr="000F2564">
        <w:rPr>
          <w:rFonts w:ascii="仿宋_GB2312" w:eastAsia="仿宋_GB2312" w:hAnsi="仿宋" w:hint="eastAsia"/>
          <w:sz w:val="32"/>
          <w:szCs w:val="32"/>
        </w:rPr>
        <w:t>纳入本部门201</w:t>
      </w:r>
      <w:r w:rsidR="00612FEA">
        <w:rPr>
          <w:rFonts w:ascii="仿宋_GB2312" w:eastAsia="仿宋_GB2312" w:hAnsi="仿宋" w:hint="eastAsia"/>
          <w:sz w:val="32"/>
          <w:szCs w:val="32"/>
        </w:rPr>
        <w:t>8</w:t>
      </w:r>
      <w:r w:rsidRPr="000F2564">
        <w:rPr>
          <w:rFonts w:ascii="仿宋_GB2312" w:eastAsia="仿宋_GB2312" w:hAnsi="仿宋" w:hint="eastAsia"/>
          <w:sz w:val="32"/>
          <w:szCs w:val="32"/>
        </w:rPr>
        <w:t>年部门决算编制范围的二级决算单位共有0个，包括：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6923"/>
      </w:tblGrid>
      <w:tr w:rsidR="00245E2D" w:rsidRPr="002D583B" w:rsidTr="00645A33">
        <w:trPr>
          <w:jc w:val="center"/>
        </w:trPr>
        <w:tc>
          <w:tcPr>
            <w:tcW w:w="1599"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jc w:val="center"/>
              <w:rPr>
                <w:rFonts w:ascii="仿宋" w:eastAsia="仿宋" w:hAnsi="仿宋" w:cs="仿宋_GB2312"/>
                <w:sz w:val="32"/>
                <w:szCs w:val="32"/>
              </w:rPr>
            </w:pPr>
            <w:r w:rsidRPr="002D583B">
              <w:rPr>
                <w:rFonts w:ascii="仿宋" w:eastAsia="仿宋" w:hAnsi="仿宋" w:cs="仿宋_GB2312" w:hint="eastAsia"/>
                <w:sz w:val="32"/>
                <w:szCs w:val="32"/>
              </w:rPr>
              <w:t>序号</w:t>
            </w:r>
          </w:p>
        </w:tc>
        <w:tc>
          <w:tcPr>
            <w:tcW w:w="6923"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jc w:val="center"/>
              <w:rPr>
                <w:rFonts w:ascii="仿宋" w:eastAsia="仿宋" w:hAnsi="仿宋" w:cs="仿宋_GB2312"/>
                <w:sz w:val="32"/>
                <w:szCs w:val="32"/>
              </w:rPr>
            </w:pPr>
            <w:r w:rsidRPr="002D583B">
              <w:rPr>
                <w:rFonts w:ascii="仿宋" w:eastAsia="仿宋" w:hAnsi="仿宋" w:cs="仿宋_GB2312" w:hint="eastAsia"/>
                <w:sz w:val="32"/>
                <w:szCs w:val="32"/>
              </w:rPr>
              <w:t>单位名称</w:t>
            </w:r>
          </w:p>
        </w:tc>
      </w:tr>
      <w:tr w:rsidR="00245E2D" w:rsidRPr="002D583B" w:rsidTr="00645A33">
        <w:trPr>
          <w:jc w:val="center"/>
        </w:trPr>
        <w:tc>
          <w:tcPr>
            <w:tcW w:w="1599"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jc w:val="center"/>
              <w:rPr>
                <w:rFonts w:ascii="仿宋" w:eastAsia="仿宋" w:hAnsi="仿宋" w:cs="仿宋_GB2312"/>
                <w:sz w:val="32"/>
                <w:szCs w:val="32"/>
              </w:rPr>
            </w:pPr>
            <w:r w:rsidRPr="002D583B">
              <w:rPr>
                <w:rFonts w:ascii="仿宋" w:eastAsia="仿宋" w:hAnsi="仿宋" w:cs="仿宋_GB2312" w:hint="eastAsia"/>
                <w:sz w:val="32"/>
                <w:szCs w:val="32"/>
              </w:rPr>
              <w:t>1</w:t>
            </w:r>
          </w:p>
        </w:tc>
        <w:tc>
          <w:tcPr>
            <w:tcW w:w="6923"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rPr>
                <w:rFonts w:ascii="仿宋" w:eastAsia="仿宋" w:hAnsi="仿宋" w:cs="仿宋_GB2312"/>
                <w:sz w:val="32"/>
                <w:szCs w:val="32"/>
              </w:rPr>
            </w:pPr>
            <w:r>
              <w:rPr>
                <w:rFonts w:ascii="仿宋" w:eastAsia="仿宋" w:hAnsi="仿宋" w:cs="仿宋_GB2312" w:hint="eastAsia"/>
                <w:sz w:val="32"/>
                <w:szCs w:val="32"/>
              </w:rPr>
              <w:t>中共西安市临潼区委政法委员会</w:t>
            </w:r>
          </w:p>
        </w:tc>
      </w:tr>
      <w:tr w:rsidR="00245E2D" w:rsidRPr="002D583B" w:rsidTr="00645A33">
        <w:trPr>
          <w:jc w:val="center"/>
        </w:trPr>
        <w:tc>
          <w:tcPr>
            <w:tcW w:w="1599"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jc w:val="center"/>
              <w:rPr>
                <w:rFonts w:ascii="仿宋" w:eastAsia="仿宋" w:hAnsi="仿宋" w:cs="仿宋_GB2312"/>
                <w:sz w:val="32"/>
                <w:szCs w:val="32"/>
              </w:rPr>
            </w:pPr>
            <w:r w:rsidRPr="002D583B">
              <w:rPr>
                <w:rFonts w:ascii="仿宋" w:eastAsia="仿宋" w:hAnsi="仿宋" w:cs="仿宋_GB2312" w:hint="eastAsia"/>
                <w:sz w:val="32"/>
                <w:szCs w:val="32"/>
              </w:rPr>
              <w:t>2</w:t>
            </w:r>
          </w:p>
        </w:tc>
        <w:tc>
          <w:tcPr>
            <w:tcW w:w="6923"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rPr>
                <w:rFonts w:ascii="仿宋" w:eastAsia="仿宋" w:hAnsi="仿宋" w:cs="仿宋_GB2312"/>
                <w:sz w:val="32"/>
                <w:szCs w:val="32"/>
              </w:rPr>
            </w:pPr>
            <w:r w:rsidRPr="002D583B">
              <w:rPr>
                <w:rFonts w:ascii="仿宋" w:eastAsia="仿宋" w:hAnsi="仿宋" w:cs="仿宋_GB2312" w:hint="eastAsia"/>
                <w:sz w:val="32"/>
                <w:szCs w:val="32"/>
              </w:rPr>
              <w:t>……</w:t>
            </w:r>
          </w:p>
        </w:tc>
      </w:tr>
      <w:tr w:rsidR="00245E2D" w:rsidRPr="002D583B" w:rsidTr="00645A33">
        <w:trPr>
          <w:jc w:val="center"/>
        </w:trPr>
        <w:tc>
          <w:tcPr>
            <w:tcW w:w="1599"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jc w:val="center"/>
              <w:rPr>
                <w:rFonts w:ascii="仿宋" w:eastAsia="仿宋" w:hAnsi="仿宋" w:cs="仿宋_GB2312"/>
                <w:sz w:val="32"/>
                <w:szCs w:val="32"/>
              </w:rPr>
            </w:pPr>
            <w:r w:rsidRPr="002D583B">
              <w:rPr>
                <w:rFonts w:ascii="仿宋" w:eastAsia="仿宋" w:hAnsi="仿宋" w:cs="仿宋_GB2312" w:hint="eastAsia"/>
                <w:sz w:val="32"/>
                <w:szCs w:val="32"/>
              </w:rPr>
              <w:t>3</w:t>
            </w:r>
          </w:p>
        </w:tc>
        <w:tc>
          <w:tcPr>
            <w:tcW w:w="6923"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rPr>
                <w:rFonts w:ascii="仿宋" w:eastAsia="仿宋" w:hAnsi="仿宋" w:cs="仿宋_GB2312"/>
                <w:sz w:val="32"/>
                <w:szCs w:val="32"/>
              </w:rPr>
            </w:pPr>
            <w:r w:rsidRPr="002D583B">
              <w:rPr>
                <w:rFonts w:ascii="仿宋" w:eastAsia="仿宋" w:hAnsi="仿宋" w:cs="仿宋_GB2312" w:hint="eastAsia"/>
                <w:sz w:val="32"/>
                <w:szCs w:val="32"/>
              </w:rPr>
              <w:t>……</w:t>
            </w:r>
          </w:p>
        </w:tc>
      </w:tr>
      <w:tr w:rsidR="00245E2D" w:rsidRPr="002D583B" w:rsidTr="00645A33">
        <w:trPr>
          <w:jc w:val="center"/>
        </w:trPr>
        <w:tc>
          <w:tcPr>
            <w:tcW w:w="1599"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jc w:val="center"/>
              <w:rPr>
                <w:rFonts w:ascii="仿宋" w:eastAsia="仿宋" w:hAnsi="仿宋" w:cs="仿宋_GB2312"/>
                <w:sz w:val="32"/>
                <w:szCs w:val="32"/>
              </w:rPr>
            </w:pPr>
            <w:r w:rsidRPr="002D583B">
              <w:rPr>
                <w:rFonts w:ascii="仿宋" w:eastAsia="仿宋" w:hAnsi="仿宋" w:cs="仿宋_GB2312" w:hint="eastAsia"/>
                <w:sz w:val="32"/>
                <w:szCs w:val="32"/>
              </w:rPr>
              <w:t>……</w:t>
            </w:r>
          </w:p>
        </w:tc>
        <w:tc>
          <w:tcPr>
            <w:tcW w:w="6923" w:type="dxa"/>
            <w:tcBorders>
              <w:top w:val="single" w:sz="4" w:space="0" w:color="auto"/>
              <w:left w:val="single" w:sz="4" w:space="0" w:color="auto"/>
              <w:bottom w:val="single" w:sz="4" w:space="0" w:color="auto"/>
              <w:right w:val="single" w:sz="4" w:space="0" w:color="auto"/>
            </w:tcBorders>
          </w:tcPr>
          <w:p w:rsidR="00245E2D" w:rsidRPr="002D583B" w:rsidRDefault="00245E2D" w:rsidP="00645A33">
            <w:pPr>
              <w:spacing w:line="480" w:lineRule="exact"/>
              <w:rPr>
                <w:rFonts w:ascii="仿宋" w:eastAsia="仿宋" w:hAnsi="仿宋" w:cs="仿宋_GB2312"/>
                <w:sz w:val="32"/>
                <w:szCs w:val="32"/>
              </w:rPr>
            </w:pPr>
            <w:r w:rsidRPr="002D583B">
              <w:rPr>
                <w:rFonts w:ascii="仿宋" w:eastAsia="仿宋" w:hAnsi="仿宋" w:cs="仿宋_GB2312" w:hint="eastAsia"/>
                <w:sz w:val="32"/>
                <w:szCs w:val="32"/>
              </w:rPr>
              <w:t>……</w:t>
            </w:r>
          </w:p>
        </w:tc>
      </w:tr>
    </w:tbl>
    <w:p w:rsidR="00245E2D" w:rsidRDefault="00245E2D" w:rsidP="00245E2D">
      <w:pPr>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t>三、部门人员情况说明</w:t>
      </w:r>
    </w:p>
    <w:p w:rsidR="00245E2D" w:rsidRDefault="00245E2D" w:rsidP="00267099">
      <w:pPr>
        <w:ind w:firstLineChars="200" w:firstLine="640"/>
        <w:rPr>
          <w:rFonts w:ascii="仿宋_GB2312" w:eastAsia="仿宋_GB2312" w:hAnsi="仿宋"/>
          <w:sz w:val="32"/>
          <w:szCs w:val="32"/>
        </w:rPr>
      </w:pPr>
      <w:r w:rsidRPr="000F2564">
        <w:rPr>
          <w:rFonts w:ascii="仿宋_GB2312" w:eastAsia="仿宋_GB2312" w:hAnsi="仿宋" w:hint="eastAsia"/>
          <w:sz w:val="32"/>
          <w:szCs w:val="32"/>
        </w:rPr>
        <w:t>截止201</w:t>
      </w:r>
      <w:r w:rsidR="00612FEA">
        <w:rPr>
          <w:rFonts w:ascii="仿宋_GB2312" w:eastAsia="仿宋_GB2312" w:hAnsi="仿宋" w:hint="eastAsia"/>
          <w:sz w:val="32"/>
          <w:szCs w:val="32"/>
        </w:rPr>
        <w:t>8</w:t>
      </w:r>
      <w:r w:rsidRPr="000F2564">
        <w:rPr>
          <w:rFonts w:ascii="仿宋_GB2312" w:eastAsia="仿宋_GB2312" w:hAnsi="仿宋" w:hint="eastAsia"/>
          <w:sz w:val="32"/>
          <w:szCs w:val="32"/>
        </w:rPr>
        <w:t>年底，本部门人员编制14人，其中行政编制14人；实有人员</w:t>
      </w:r>
      <w:r>
        <w:rPr>
          <w:rFonts w:ascii="仿宋_GB2312" w:eastAsia="仿宋_GB2312" w:hAnsi="仿宋" w:hint="eastAsia"/>
          <w:sz w:val="32"/>
          <w:szCs w:val="32"/>
        </w:rPr>
        <w:t>19</w:t>
      </w:r>
      <w:r w:rsidRPr="000F2564">
        <w:rPr>
          <w:rFonts w:ascii="仿宋_GB2312" w:eastAsia="仿宋_GB2312" w:hAnsi="仿宋" w:hint="eastAsia"/>
          <w:sz w:val="32"/>
          <w:szCs w:val="32"/>
        </w:rPr>
        <w:t>人，其中行政</w:t>
      </w:r>
      <w:r>
        <w:rPr>
          <w:rFonts w:ascii="仿宋_GB2312" w:eastAsia="仿宋_GB2312" w:hAnsi="仿宋" w:hint="eastAsia"/>
          <w:sz w:val="32"/>
          <w:szCs w:val="32"/>
        </w:rPr>
        <w:t>19</w:t>
      </w:r>
      <w:r w:rsidRPr="000F2564">
        <w:rPr>
          <w:rFonts w:ascii="仿宋_GB2312" w:eastAsia="仿宋_GB2312" w:hAnsi="仿宋" w:hint="eastAsia"/>
          <w:sz w:val="32"/>
          <w:szCs w:val="32"/>
        </w:rPr>
        <w:t>人。单位管理的离退休人员9人。</w:t>
      </w:r>
    </w:p>
    <w:p w:rsidR="00267099" w:rsidRPr="00267099" w:rsidRDefault="00267099" w:rsidP="00267099">
      <w:pPr>
        <w:ind w:firstLineChars="200" w:firstLine="640"/>
        <w:rPr>
          <w:rFonts w:ascii="仿宋_GB2312" w:eastAsia="仿宋_GB2312" w:hAnsi="仿宋"/>
          <w:sz w:val="32"/>
          <w:szCs w:val="32"/>
        </w:rPr>
      </w:pPr>
      <w:r>
        <w:rPr>
          <w:rFonts w:ascii="仿宋_GB2312" w:eastAsia="仿宋_GB2312" w:hAnsi="仿宋"/>
          <w:noProof/>
          <w:sz w:val="32"/>
          <w:szCs w:val="32"/>
        </w:rPr>
        <w:lastRenderedPageBreak/>
        <w:drawing>
          <wp:inline distT="0" distB="0" distL="0" distR="0">
            <wp:extent cx="4695825" cy="3076575"/>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45E2D" w:rsidRDefault="00245E2D" w:rsidP="00267099">
      <w:pPr>
        <w:ind w:firstLineChars="200" w:firstLine="640"/>
        <w:rPr>
          <w:rFonts w:ascii="黑体" w:eastAsia="黑体" w:hAnsi="黑体" w:cs="黑体"/>
          <w:sz w:val="32"/>
          <w:szCs w:val="32"/>
        </w:rPr>
      </w:pPr>
      <w:r>
        <w:rPr>
          <w:rFonts w:ascii="黑体" w:eastAsia="黑体" w:hAnsi="黑体" w:cs="黑体" w:hint="eastAsia"/>
          <w:sz w:val="32"/>
          <w:szCs w:val="32"/>
        </w:rPr>
        <w:t>四、2018年度部门工作完成情况</w:t>
      </w:r>
    </w:p>
    <w:p w:rsidR="00245E2D" w:rsidRDefault="00245E2D" w:rsidP="00245E2D">
      <w:pPr>
        <w:ind w:firstLineChars="200" w:firstLine="640"/>
        <w:rPr>
          <w:rFonts w:ascii="黑体" w:eastAsia="黑体" w:hAnsi="黑体" w:cs="黑体"/>
          <w:sz w:val="32"/>
          <w:szCs w:val="32"/>
        </w:rPr>
      </w:pPr>
      <w:r w:rsidRPr="000F2564">
        <w:rPr>
          <w:rFonts w:ascii="仿宋_GB2312" w:eastAsia="仿宋_GB2312" w:hAnsi="仿宋" w:hint="eastAsia"/>
          <w:sz w:val="32"/>
          <w:szCs w:val="32"/>
        </w:rPr>
        <w:t>201</w:t>
      </w:r>
      <w:r>
        <w:rPr>
          <w:rFonts w:ascii="仿宋_GB2312" w:eastAsia="仿宋_GB2312" w:hAnsi="仿宋" w:hint="eastAsia"/>
          <w:sz w:val="32"/>
          <w:szCs w:val="32"/>
        </w:rPr>
        <w:t>8</w:t>
      </w:r>
      <w:r w:rsidRPr="000F2564">
        <w:rPr>
          <w:rFonts w:ascii="仿宋_GB2312" w:eastAsia="仿宋_GB2312" w:hAnsi="仿宋" w:hint="eastAsia"/>
          <w:sz w:val="32"/>
          <w:szCs w:val="32"/>
        </w:rPr>
        <w:t>年，我</w:t>
      </w:r>
      <w:proofErr w:type="gramStart"/>
      <w:r w:rsidRPr="000F2564">
        <w:rPr>
          <w:rFonts w:ascii="仿宋_GB2312" w:eastAsia="仿宋_GB2312" w:hAnsi="仿宋" w:hint="eastAsia"/>
          <w:sz w:val="32"/>
          <w:szCs w:val="32"/>
        </w:rPr>
        <w:t>委深入</w:t>
      </w:r>
      <w:proofErr w:type="gramEnd"/>
      <w:r w:rsidRPr="000F2564">
        <w:rPr>
          <w:rFonts w:ascii="仿宋_GB2312" w:eastAsia="仿宋_GB2312" w:hAnsi="仿宋" w:hint="eastAsia"/>
          <w:sz w:val="32"/>
          <w:szCs w:val="32"/>
        </w:rPr>
        <w:t>贯彻落实中央、省、市委政法工作会议要求，在区委、区政府的正确领导及市委政法委的悉心指导下，紧紧围绕“一降一升”目标，服务保障追赶超越实现，奋勇攻坚、务实创新，较好地完成了各项目标任务。一是强化责任担当，确保“一降一升”落实到位；二是强化基础保障，形成“平安临潼”共建合力；三是强化机制建设，保持“和谐临潼”大局稳定；四是强化监督检查， 促进“公正执法”理念</w:t>
      </w:r>
      <w:proofErr w:type="gramStart"/>
      <w:r w:rsidRPr="000F2564">
        <w:rPr>
          <w:rFonts w:ascii="仿宋_GB2312" w:eastAsia="仿宋_GB2312" w:hAnsi="仿宋" w:hint="eastAsia"/>
          <w:sz w:val="32"/>
          <w:szCs w:val="32"/>
        </w:rPr>
        <w:t>践行</w:t>
      </w:r>
      <w:proofErr w:type="gramEnd"/>
      <w:r w:rsidRPr="000F2564">
        <w:rPr>
          <w:rFonts w:ascii="仿宋_GB2312" w:eastAsia="仿宋_GB2312" w:hAnsi="仿宋" w:hint="eastAsia"/>
          <w:sz w:val="32"/>
          <w:szCs w:val="32"/>
        </w:rPr>
        <w:t>；五是强化过硬标准，打造“临潼铁军”政法队伍</w:t>
      </w:r>
      <w:r>
        <w:rPr>
          <w:rFonts w:ascii="仿宋_GB2312" w:eastAsia="仿宋_GB2312" w:hAnsi="仿宋" w:hint="eastAsia"/>
          <w:sz w:val="32"/>
          <w:szCs w:val="32"/>
        </w:rPr>
        <w:t>。</w:t>
      </w:r>
      <w:r w:rsidRPr="000F2564">
        <w:rPr>
          <w:rFonts w:ascii="仿宋_GB2312" w:eastAsia="仿宋_GB2312" w:hAnsi="仿宋" w:hint="eastAsia"/>
          <w:sz w:val="32"/>
          <w:szCs w:val="32"/>
        </w:rPr>
        <w:t xml:space="preserve"> </w:t>
      </w:r>
      <w:r>
        <w:rPr>
          <w:rFonts w:ascii="仿宋_GB2312" w:eastAsia="仿宋_GB2312" w:hint="eastAsia"/>
          <w:sz w:val="32"/>
          <w:szCs w:val="32"/>
        </w:rPr>
        <w:t xml:space="preserve">    </w:t>
      </w:r>
    </w:p>
    <w:p w:rsidR="00245E2D" w:rsidRDefault="00245E2D" w:rsidP="00245E2D">
      <w:pPr>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t>五、部门决算收支情况说明</w:t>
      </w:r>
    </w:p>
    <w:p w:rsidR="00245E2D" w:rsidRDefault="00245E2D" w:rsidP="00245E2D">
      <w:pPr>
        <w:spacing w:line="550" w:lineRule="exact"/>
        <w:ind w:firstLineChars="200" w:firstLine="640"/>
        <w:rPr>
          <w:rFonts w:ascii="楷体" w:eastAsia="楷体" w:hAnsi="楷体" w:cs="楷体"/>
          <w:sz w:val="32"/>
          <w:szCs w:val="32"/>
        </w:rPr>
      </w:pPr>
      <w:r>
        <w:rPr>
          <w:rFonts w:ascii="楷体" w:eastAsia="楷体" w:hAnsi="楷体" w:cs="楷体" w:hint="eastAsia"/>
          <w:sz w:val="32"/>
          <w:szCs w:val="32"/>
        </w:rPr>
        <w:t>（一）2018年度收入支出总体情况说明</w:t>
      </w:r>
    </w:p>
    <w:p w:rsidR="00110285" w:rsidRDefault="00245E2D" w:rsidP="00110285">
      <w:pPr>
        <w:widowControl/>
        <w:ind w:firstLine="480"/>
        <w:rPr>
          <w:rFonts w:ascii="仿宋_GB2312" w:eastAsia="仿宋_GB2312"/>
          <w:sz w:val="32"/>
          <w:szCs w:val="32"/>
        </w:rPr>
      </w:pPr>
      <w:r>
        <w:rPr>
          <w:rFonts w:ascii="仿宋" w:eastAsia="仿宋" w:hAnsi="仿宋" w:hint="eastAsia"/>
          <w:sz w:val="32"/>
          <w:szCs w:val="32"/>
        </w:rPr>
        <w:t>1．本年度收入支出总体情况及比上年增长（减少）情况，分析增减变化的主要原因。</w:t>
      </w:r>
      <w:r w:rsidR="00110285" w:rsidRPr="000F2564">
        <w:rPr>
          <w:rFonts w:ascii="仿宋_GB2312" w:eastAsia="仿宋_GB2312" w:hAnsi="仿宋" w:hint="eastAsia"/>
          <w:sz w:val="32"/>
          <w:szCs w:val="32"/>
        </w:rPr>
        <w:t>单位201</w:t>
      </w:r>
      <w:r w:rsidR="00110285">
        <w:rPr>
          <w:rFonts w:ascii="仿宋_GB2312" w:eastAsia="仿宋_GB2312" w:hAnsi="仿宋" w:hint="eastAsia"/>
          <w:sz w:val="32"/>
          <w:szCs w:val="32"/>
        </w:rPr>
        <w:t>8</w:t>
      </w:r>
      <w:r w:rsidR="00110285" w:rsidRPr="000F2564">
        <w:rPr>
          <w:rFonts w:ascii="仿宋_GB2312" w:eastAsia="仿宋_GB2312" w:hAnsi="仿宋" w:hint="eastAsia"/>
          <w:sz w:val="32"/>
          <w:szCs w:val="32"/>
        </w:rPr>
        <w:t>年实际收到的公共预</w:t>
      </w:r>
      <w:r w:rsidR="00110285" w:rsidRPr="000F2564">
        <w:rPr>
          <w:rFonts w:ascii="仿宋_GB2312" w:eastAsia="仿宋_GB2312" w:hAnsi="仿宋" w:hint="eastAsia"/>
          <w:sz w:val="32"/>
          <w:szCs w:val="32"/>
        </w:rPr>
        <w:lastRenderedPageBreak/>
        <w:t>算财政拨款收入</w:t>
      </w:r>
      <w:r w:rsidR="00110285">
        <w:rPr>
          <w:rFonts w:ascii="仿宋_GB2312" w:eastAsia="仿宋_GB2312" w:hAnsi="仿宋" w:hint="eastAsia"/>
          <w:sz w:val="32"/>
          <w:szCs w:val="32"/>
        </w:rPr>
        <w:t>461.63</w:t>
      </w:r>
      <w:r w:rsidR="00110285" w:rsidRPr="000F2564">
        <w:rPr>
          <w:rFonts w:ascii="仿宋_GB2312" w:eastAsia="仿宋_GB2312" w:hAnsi="仿宋" w:hint="eastAsia"/>
          <w:sz w:val="32"/>
          <w:szCs w:val="32"/>
        </w:rPr>
        <w:t>万元，其中基本收入</w:t>
      </w:r>
      <w:r w:rsidR="00110285">
        <w:rPr>
          <w:rFonts w:ascii="仿宋_GB2312" w:eastAsia="仿宋_GB2312" w:hint="eastAsia"/>
          <w:sz w:val="32"/>
          <w:szCs w:val="32"/>
        </w:rPr>
        <w:t>293.32</w:t>
      </w:r>
      <w:r w:rsidR="00110285" w:rsidRPr="000F2564">
        <w:rPr>
          <w:rFonts w:ascii="仿宋_GB2312" w:eastAsia="仿宋_GB2312" w:hAnsi="仿宋" w:hint="eastAsia"/>
          <w:sz w:val="32"/>
          <w:szCs w:val="32"/>
        </w:rPr>
        <w:t>万元，项目收入</w:t>
      </w:r>
      <w:r w:rsidR="00110285">
        <w:rPr>
          <w:rFonts w:ascii="仿宋_GB2312" w:eastAsia="仿宋_GB2312" w:hint="eastAsia"/>
          <w:sz w:val="32"/>
          <w:szCs w:val="32"/>
        </w:rPr>
        <w:t>168.31</w:t>
      </w:r>
      <w:r w:rsidR="00110285" w:rsidRPr="000F2564">
        <w:rPr>
          <w:rFonts w:ascii="仿宋_GB2312" w:eastAsia="仿宋_GB2312" w:hAnsi="仿宋" w:hint="eastAsia"/>
          <w:sz w:val="32"/>
          <w:szCs w:val="32"/>
        </w:rPr>
        <w:t>万元。201</w:t>
      </w:r>
      <w:r w:rsidR="00110285">
        <w:rPr>
          <w:rFonts w:ascii="仿宋_GB2312" w:eastAsia="仿宋_GB2312" w:hAnsi="仿宋" w:hint="eastAsia"/>
          <w:sz w:val="32"/>
          <w:szCs w:val="32"/>
        </w:rPr>
        <w:t>7</w:t>
      </w:r>
      <w:r w:rsidR="00110285" w:rsidRPr="000F2564">
        <w:rPr>
          <w:rFonts w:ascii="仿宋_GB2312" w:eastAsia="仿宋_GB2312" w:hAnsi="仿宋" w:hint="eastAsia"/>
          <w:sz w:val="32"/>
          <w:szCs w:val="32"/>
        </w:rPr>
        <w:t>年实际收到的公共预算财政拨款收入318.67万元，其中基本收入266.42万元，项目收入52.25万元。总体收入比上年</w:t>
      </w:r>
      <w:r w:rsidR="00110285">
        <w:rPr>
          <w:rFonts w:ascii="仿宋_GB2312" w:eastAsia="仿宋_GB2312" w:hAnsi="仿宋" w:hint="eastAsia"/>
          <w:sz w:val="32"/>
          <w:szCs w:val="32"/>
        </w:rPr>
        <w:t>增加142.96</w:t>
      </w:r>
      <w:r w:rsidR="00110285" w:rsidRPr="000F2564">
        <w:rPr>
          <w:rFonts w:ascii="仿宋_GB2312" w:eastAsia="仿宋_GB2312" w:hAnsi="仿宋" w:hint="eastAsia"/>
          <w:sz w:val="32"/>
          <w:szCs w:val="32"/>
        </w:rPr>
        <w:t>万元，</w:t>
      </w:r>
      <w:r w:rsidR="00110285">
        <w:rPr>
          <w:rFonts w:ascii="仿宋_GB2312" w:eastAsia="仿宋_GB2312" w:hAnsi="仿宋" w:hint="eastAsia"/>
          <w:sz w:val="32"/>
          <w:szCs w:val="32"/>
        </w:rPr>
        <w:t>增加</w:t>
      </w:r>
      <w:r w:rsidR="00110285" w:rsidRPr="000F2564">
        <w:rPr>
          <w:rFonts w:ascii="仿宋_GB2312" w:eastAsia="仿宋_GB2312" w:hAnsi="仿宋" w:hint="eastAsia"/>
          <w:sz w:val="32"/>
          <w:szCs w:val="32"/>
        </w:rPr>
        <w:t>了</w:t>
      </w:r>
      <w:r w:rsidR="00110285">
        <w:rPr>
          <w:rFonts w:ascii="仿宋_GB2312" w:eastAsia="仿宋_GB2312" w:hAnsi="仿宋" w:hint="eastAsia"/>
          <w:sz w:val="32"/>
          <w:szCs w:val="32"/>
        </w:rPr>
        <w:t>44.86</w:t>
      </w:r>
      <w:r w:rsidR="00110285" w:rsidRPr="000F2564">
        <w:rPr>
          <w:rFonts w:ascii="仿宋_GB2312" w:eastAsia="仿宋_GB2312" w:hAnsi="仿宋" w:hint="eastAsia"/>
          <w:sz w:val="32"/>
          <w:szCs w:val="32"/>
        </w:rPr>
        <w:t>%，基本收入比上年增加</w:t>
      </w:r>
      <w:r w:rsidR="00110285">
        <w:rPr>
          <w:rFonts w:ascii="仿宋_GB2312" w:eastAsia="仿宋_GB2312" w:hAnsi="仿宋" w:hint="eastAsia"/>
          <w:sz w:val="32"/>
          <w:szCs w:val="32"/>
        </w:rPr>
        <w:t>26.9</w:t>
      </w:r>
      <w:r w:rsidR="00110285" w:rsidRPr="000F2564">
        <w:rPr>
          <w:rFonts w:ascii="仿宋_GB2312" w:eastAsia="仿宋_GB2312" w:hAnsi="仿宋" w:hint="eastAsia"/>
          <w:sz w:val="32"/>
          <w:szCs w:val="32"/>
        </w:rPr>
        <w:t>万元，增加了</w:t>
      </w:r>
      <w:r w:rsidR="00110285">
        <w:rPr>
          <w:rFonts w:ascii="仿宋_GB2312" w:eastAsia="仿宋_GB2312" w:hAnsi="仿宋" w:hint="eastAsia"/>
          <w:sz w:val="32"/>
          <w:szCs w:val="32"/>
        </w:rPr>
        <w:t>10.1</w:t>
      </w:r>
      <w:r w:rsidR="00110285" w:rsidRPr="000F2564">
        <w:rPr>
          <w:rFonts w:ascii="仿宋_GB2312" w:eastAsia="仿宋_GB2312" w:hAnsi="仿宋" w:hint="eastAsia"/>
          <w:sz w:val="32"/>
          <w:szCs w:val="32"/>
        </w:rPr>
        <w:t>%，主要受人员工资变动；</w:t>
      </w:r>
      <w:r w:rsidR="00110285" w:rsidRPr="00C63B08">
        <w:rPr>
          <w:rFonts w:ascii="仿宋_GB2312" w:eastAsia="仿宋_GB2312" w:hint="eastAsia"/>
          <w:sz w:val="32"/>
          <w:szCs w:val="32"/>
        </w:rPr>
        <w:t>项目支出</w:t>
      </w:r>
      <w:r w:rsidR="00110285">
        <w:rPr>
          <w:rFonts w:ascii="仿宋_GB2312" w:eastAsia="仿宋_GB2312" w:hint="eastAsia"/>
          <w:sz w:val="32"/>
          <w:szCs w:val="32"/>
        </w:rPr>
        <w:t>增加112.07</w:t>
      </w:r>
      <w:r w:rsidR="00110285" w:rsidRPr="00C63B08">
        <w:rPr>
          <w:rFonts w:ascii="仿宋_GB2312" w:eastAsia="仿宋_GB2312" w:hint="eastAsia"/>
          <w:sz w:val="32"/>
          <w:szCs w:val="32"/>
        </w:rPr>
        <w:t>万元，</w:t>
      </w:r>
      <w:r w:rsidR="00110285">
        <w:rPr>
          <w:rFonts w:ascii="仿宋_GB2312" w:eastAsia="仿宋_GB2312" w:hint="eastAsia"/>
          <w:sz w:val="32"/>
          <w:szCs w:val="32"/>
        </w:rPr>
        <w:t>增加214.51</w:t>
      </w:r>
      <w:r w:rsidR="00110285" w:rsidRPr="00C63B08">
        <w:rPr>
          <w:rFonts w:ascii="仿宋_GB2312" w:eastAsia="仿宋_GB2312" w:hint="eastAsia"/>
          <w:sz w:val="32"/>
          <w:szCs w:val="32"/>
        </w:rPr>
        <w:t>%，主要原因是</w:t>
      </w:r>
      <w:r w:rsidR="00110285">
        <w:rPr>
          <w:rFonts w:ascii="仿宋_GB2312" w:eastAsia="仿宋_GB2312" w:hint="eastAsia"/>
          <w:sz w:val="32"/>
          <w:szCs w:val="32"/>
        </w:rPr>
        <w:t>追加2017年政法工作会议经费、扫黑除恶宣传培训经费</w:t>
      </w:r>
      <w:r w:rsidR="00110285" w:rsidRPr="00C63B08">
        <w:rPr>
          <w:rFonts w:ascii="仿宋_GB2312" w:eastAsia="仿宋_GB2312" w:hint="eastAsia"/>
          <w:sz w:val="32"/>
          <w:szCs w:val="32"/>
        </w:rPr>
        <w:t>。</w:t>
      </w:r>
    </w:p>
    <w:p w:rsidR="00023F39" w:rsidRPr="00C63B08" w:rsidRDefault="00023F39" w:rsidP="00110285">
      <w:pPr>
        <w:widowControl/>
        <w:ind w:firstLine="480"/>
        <w:rPr>
          <w:rFonts w:ascii="仿宋_GB2312" w:eastAsia="仿宋_GB2312"/>
          <w:sz w:val="32"/>
          <w:szCs w:val="32"/>
        </w:rPr>
      </w:pPr>
      <w:r>
        <w:rPr>
          <w:rFonts w:ascii="仿宋_GB2312" w:eastAsia="仿宋_GB2312" w:hint="eastAsia"/>
          <w:noProof/>
          <w:sz w:val="32"/>
          <w:szCs w:val="32"/>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10285" w:rsidRPr="00C63B08" w:rsidRDefault="00110285" w:rsidP="00110285">
      <w:pPr>
        <w:widowControl/>
        <w:ind w:firstLine="480"/>
        <w:rPr>
          <w:rFonts w:ascii="仿宋_GB2312" w:eastAsia="仿宋_GB2312"/>
          <w:sz w:val="32"/>
          <w:szCs w:val="32"/>
        </w:rPr>
      </w:pPr>
      <w:r w:rsidRPr="002D583B">
        <w:rPr>
          <w:rFonts w:ascii="仿宋" w:eastAsia="仿宋" w:hAnsi="仿宋" w:hint="eastAsia"/>
          <w:sz w:val="32"/>
          <w:szCs w:val="32"/>
        </w:rPr>
        <w:t>2．本年度收入构成情况。</w:t>
      </w:r>
      <w:r>
        <w:rPr>
          <w:rFonts w:ascii="仿宋_GB2312" w:eastAsia="仿宋_GB2312" w:hint="eastAsia"/>
          <w:sz w:val="32"/>
          <w:szCs w:val="32"/>
        </w:rPr>
        <w:t>2018年财政拨款461.63万元，其中基本收入293.32万元，占总收入的63.54%，项目收入168.31万元，占总收入的36.46%</w:t>
      </w:r>
      <w:r w:rsidRPr="00C63B08">
        <w:rPr>
          <w:rFonts w:ascii="仿宋_GB2312" w:eastAsia="仿宋_GB2312" w:hint="eastAsia"/>
          <w:sz w:val="32"/>
          <w:szCs w:val="32"/>
        </w:rPr>
        <w:t xml:space="preserve"> </w:t>
      </w:r>
      <w:r>
        <w:rPr>
          <w:rFonts w:ascii="仿宋_GB2312" w:eastAsia="仿宋_GB2312" w:hint="eastAsia"/>
          <w:sz w:val="32"/>
          <w:szCs w:val="32"/>
        </w:rPr>
        <w:t>。</w:t>
      </w:r>
    </w:p>
    <w:p w:rsidR="00110285" w:rsidRPr="00C63B08" w:rsidRDefault="00110285" w:rsidP="003A1FDE">
      <w:pPr>
        <w:widowControl/>
        <w:ind w:firstLine="482"/>
        <w:jc w:val="left"/>
        <w:rPr>
          <w:rFonts w:ascii="仿宋_GB2312" w:eastAsia="仿宋_GB2312"/>
          <w:sz w:val="32"/>
          <w:szCs w:val="32"/>
        </w:rPr>
      </w:pPr>
      <w:r w:rsidRPr="002D583B">
        <w:rPr>
          <w:rFonts w:ascii="仿宋" w:eastAsia="仿宋" w:hAnsi="仿宋" w:hint="eastAsia"/>
          <w:sz w:val="32"/>
          <w:szCs w:val="32"/>
        </w:rPr>
        <w:t>3．本年支出构成情况。</w:t>
      </w:r>
      <w:r>
        <w:rPr>
          <w:rFonts w:ascii="仿宋_GB2312" w:eastAsia="仿宋_GB2312" w:hint="eastAsia"/>
          <w:sz w:val="32"/>
          <w:szCs w:val="32"/>
        </w:rPr>
        <w:t>2018年支出461.63万元，其中基本支出293.32万元，占总收入的63.54%，项目支出168.31</w:t>
      </w:r>
      <w:r>
        <w:rPr>
          <w:rFonts w:ascii="仿宋_GB2312" w:eastAsia="仿宋_GB2312" w:hint="eastAsia"/>
          <w:sz w:val="32"/>
          <w:szCs w:val="32"/>
        </w:rPr>
        <w:lastRenderedPageBreak/>
        <w:t>万元，占总收入的36.46%</w:t>
      </w:r>
      <w:r w:rsidRPr="00C63B08">
        <w:rPr>
          <w:rFonts w:ascii="仿宋_GB2312" w:eastAsia="仿宋_GB2312" w:hint="eastAsia"/>
          <w:sz w:val="32"/>
          <w:szCs w:val="32"/>
        </w:rPr>
        <w:t xml:space="preserve"> </w:t>
      </w:r>
      <w:r>
        <w:rPr>
          <w:rFonts w:ascii="仿宋_GB2312" w:eastAsia="仿宋_GB2312" w:hint="eastAsia"/>
          <w:sz w:val="32"/>
          <w:szCs w:val="32"/>
        </w:rPr>
        <w:t>。</w:t>
      </w:r>
      <w:r w:rsidR="003A1FDE">
        <w:rPr>
          <w:rFonts w:ascii="仿宋_GB2312" w:eastAsia="仿宋_GB2312" w:hint="eastAsia"/>
          <w:noProof/>
          <w:sz w:val="32"/>
          <w:szCs w:val="32"/>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5E2D" w:rsidRDefault="00245E2D" w:rsidP="00245E2D">
      <w:pPr>
        <w:spacing w:line="550" w:lineRule="exact"/>
        <w:ind w:firstLineChars="200" w:firstLine="640"/>
        <w:rPr>
          <w:rFonts w:ascii="楷体" w:eastAsia="楷体" w:hAnsi="楷体" w:cs="楷体"/>
          <w:sz w:val="32"/>
          <w:szCs w:val="32"/>
        </w:rPr>
      </w:pPr>
      <w:r>
        <w:rPr>
          <w:rFonts w:ascii="楷体" w:eastAsia="楷体" w:hAnsi="楷体" w:cs="楷体" w:hint="eastAsia"/>
          <w:sz w:val="32"/>
          <w:szCs w:val="32"/>
        </w:rPr>
        <w:t>（二）2018年度财政拨款收入支出总体情况说明</w:t>
      </w:r>
    </w:p>
    <w:p w:rsidR="00110285" w:rsidRPr="00C63B08" w:rsidRDefault="00245E2D" w:rsidP="00110285">
      <w:pPr>
        <w:widowControl/>
        <w:ind w:firstLine="480"/>
        <w:rPr>
          <w:rFonts w:ascii="仿宋_GB2312" w:eastAsia="仿宋_GB2312"/>
          <w:sz w:val="32"/>
          <w:szCs w:val="32"/>
        </w:rPr>
      </w:pPr>
      <w:r>
        <w:rPr>
          <w:rFonts w:ascii="仿宋" w:eastAsia="仿宋" w:hAnsi="仿宋" w:hint="eastAsia"/>
          <w:sz w:val="32"/>
          <w:szCs w:val="32"/>
        </w:rPr>
        <w:t>1．财政拨款收入支出总体情况及比上年增减情况，分析增减变化的原因</w:t>
      </w:r>
      <w:r w:rsidR="00110285">
        <w:rPr>
          <w:rFonts w:ascii="仿宋" w:eastAsia="仿宋" w:hAnsi="仿宋" w:hint="eastAsia"/>
          <w:sz w:val="32"/>
          <w:szCs w:val="32"/>
        </w:rPr>
        <w:t>。</w:t>
      </w:r>
      <w:r w:rsidR="00110285">
        <w:rPr>
          <w:rFonts w:ascii="仿宋_GB2312" w:eastAsia="仿宋_GB2312" w:hint="eastAsia"/>
          <w:sz w:val="32"/>
          <w:szCs w:val="32"/>
        </w:rPr>
        <w:t>2018年财政拨款461.63万元，其中基本收入293.32万元，占总收入的63.54%，项目收入168.31万元，占总收入的36.46%</w:t>
      </w:r>
      <w:r w:rsidR="00110285" w:rsidRPr="00C63B08">
        <w:rPr>
          <w:rFonts w:ascii="仿宋_GB2312" w:eastAsia="仿宋_GB2312" w:hint="eastAsia"/>
          <w:sz w:val="32"/>
          <w:szCs w:val="32"/>
        </w:rPr>
        <w:t xml:space="preserve"> </w:t>
      </w:r>
      <w:r w:rsidR="00110285">
        <w:rPr>
          <w:rFonts w:ascii="仿宋_GB2312" w:eastAsia="仿宋_GB2312" w:hint="eastAsia"/>
          <w:sz w:val="32"/>
          <w:szCs w:val="32"/>
        </w:rPr>
        <w:t>。</w:t>
      </w:r>
      <w:r w:rsidR="00110285" w:rsidRPr="000F2564">
        <w:rPr>
          <w:rFonts w:ascii="仿宋_GB2312" w:eastAsia="仿宋_GB2312" w:hAnsi="仿宋" w:hint="eastAsia"/>
          <w:sz w:val="32"/>
          <w:szCs w:val="32"/>
        </w:rPr>
        <w:t>2017年实际收到的公共预算财政拨款收入318.67万元，其中基本收入266.42万元，项目收入52.25万元。总体收入比上年</w:t>
      </w:r>
      <w:r w:rsidR="00110285">
        <w:rPr>
          <w:rFonts w:ascii="仿宋_GB2312" w:eastAsia="仿宋_GB2312" w:hAnsi="仿宋" w:hint="eastAsia"/>
          <w:sz w:val="32"/>
          <w:szCs w:val="32"/>
        </w:rPr>
        <w:t>增加142.96</w:t>
      </w:r>
      <w:r w:rsidR="00110285" w:rsidRPr="000F2564">
        <w:rPr>
          <w:rFonts w:ascii="仿宋_GB2312" w:eastAsia="仿宋_GB2312" w:hAnsi="仿宋" w:hint="eastAsia"/>
          <w:sz w:val="32"/>
          <w:szCs w:val="32"/>
        </w:rPr>
        <w:t>万元，</w:t>
      </w:r>
      <w:r w:rsidR="00110285">
        <w:rPr>
          <w:rFonts w:ascii="仿宋_GB2312" w:eastAsia="仿宋_GB2312" w:hAnsi="仿宋" w:hint="eastAsia"/>
          <w:sz w:val="32"/>
          <w:szCs w:val="32"/>
        </w:rPr>
        <w:t>增加</w:t>
      </w:r>
      <w:r w:rsidR="00110285" w:rsidRPr="000F2564">
        <w:rPr>
          <w:rFonts w:ascii="仿宋_GB2312" w:eastAsia="仿宋_GB2312" w:hAnsi="仿宋" w:hint="eastAsia"/>
          <w:sz w:val="32"/>
          <w:szCs w:val="32"/>
        </w:rPr>
        <w:t>了</w:t>
      </w:r>
      <w:r w:rsidR="00110285">
        <w:rPr>
          <w:rFonts w:ascii="仿宋_GB2312" w:eastAsia="仿宋_GB2312" w:hAnsi="仿宋" w:hint="eastAsia"/>
          <w:sz w:val="32"/>
          <w:szCs w:val="32"/>
        </w:rPr>
        <w:t>44.86</w:t>
      </w:r>
      <w:r w:rsidR="00110285" w:rsidRPr="000F2564">
        <w:rPr>
          <w:rFonts w:ascii="仿宋_GB2312" w:eastAsia="仿宋_GB2312" w:hAnsi="仿宋" w:hint="eastAsia"/>
          <w:sz w:val="32"/>
          <w:szCs w:val="32"/>
        </w:rPr>
        <w:t>%，基本收入比上年增加</w:t>
      </w:r>
      <w:r w:rsidR="00110285">
        <w:rPr>
          <w:rFonts w:ascii="仿宋_GB2312" w:eastAsia="仿宋_GB2312" w:hAnsi="仿宋" w:hint="eastAsia"/>
          <w:sz w:val="32"/>
          <w:szCs w:val="32"/>
        </w:rPr>
        <w:t>26.9</w:t>
      </w:r>
      <w:r w:rsidR="00110285" w:rsidRPr="000F2564">
        <w:rPr>
          <w:rFonts w:ascii="仿宋_GB2312" w:eastAsia="仿宋_GB2312" w:hAnsi="仿宋" w:hint="eastAsia"/>
          <w:sz w:val="32"/>
          <w:szCs w:val="32"/>
        </w:rPr>
        <w:t>万元，增加了</w:t>
      </w:r>
      <w:r w:rsidR="00110285">
        <w:rPr>
          <w:rFonts w:ascii="仿宋_GB2312" w:eastAsia="仿宋_GB2312" w:hAnsi="仿宋" w:hint="eastAsia"/>
          <w:sz w:val="32"/>
          <w:szCs w:val="32"/>
        </w:rPr>
        <w:t>10.1</w:t>
      </w:r>
      <w:r w:rsidR="00110285" w:rsidRPr="000F2564">
        <w:rPr>
          <w:rFonts w:ascii="仿宋_GB2312" w:eastAsia="仿宋_GB2312" w:hAnsi="仿宋" w:hint="eastAsia"/>
          <w:sz w:val="32"/>
          <w:szCs w:val="32"/>
        </w:rPr>
        <w:t>%，主要受人员工资变动；</w:t>
      </w:r>
      <w:r w:rsidR="00110285" w:rsidRPr="00C63B08">
        <w:rPr>
          <w:rFonts w:ascii="仿宋_GB2312" w:eastAsia="仿宋_GB2312" w:hint="eastAsia"/>
          <w:sz w:val="32"/>
          <w:szCs w:val="32"/>
        </w:rPr>
        <w:t>项目</w:t>
      </w:r>
      <w:r w:rsidR="00110285">
        <w:rPr>
          <w:rFonts w:ascii="仿宋_GB2312" w:eastAsia="仿宋_GB2312" w:hint="eastAsia"/>
          <w:sz w:val="32"/>
          <w:szCs w:val="32"/>
        </w:rPr>
        <w:t>收入增加112.07</w:t>
      </w:r>
      <w:r w:rsidR="00110285" w:rsidRPr="00C63B08">
        <w:rPr>
          <w:rFonts w:ascii="仿宋_GB2312" w:eastAsia="仿宋_GB2312" w:hint="eastAsia"/>
          <w:sz w:val="32"/>
          <w:szCs w:val="32"/>
        </w:rPr>
        <w:t>万元，</w:t>
      </w:r>
      <w:r w:rsidR="00110285">
        <w:rPr>
          <w:rFonts w:ascii="仿宋_GB2312" w:eastAsia="仿宋_GB2312" w:hint="eastAsia"/>
          <w:sz w:val="32"/>
          <w:szCs w:val="32"/>
        </w:rPr>
        <w:t>增加214.51</w:t>
      </w:r>
      <w:r w:rsidR="00110285" w:rsidRPr="00C63B08">
        <w:rPr>
          <w:rFonts w:ascii="仿宋_GB2312" w:eastAsia="仿宋_GB2312" w:hint="eastAsia"/>
          <w:sz w:val="32"/>
          <w:szCs w:val="32"/>
        </w:rPr>
        <w:t>%，主要原因是</w:t>
      </w:r>
      <w:r w:rsidR="00110285">
        <w:rPr>
          <w:rFonts w:ascii="仿宋_GB2312" w:eastAsia="仿宋_GB2312" w:hint="eastAsia"/>
          <w:sz w:val="32"/>
          <w:szCs w:val="32"/>
        </w:rPr>
        <w:t>追加2017年政法工作会议经费、扫黑除恶宣传培训经费</w:t>
      </w:r>
      <w:r w:rsidR="00110285" w:rsidRPr="00C63B08">
        <w:rPr>
          <w:rFonts w:ascii="仿宋_GB2312" w:eastAsia="仿宋_GB2312" w:hint="eastAsia"/>
          <w:sz w:val="32"/>
          <w:szCs w:val="32"/>
        </w:rPr>
        <w:t>。</w:t>
      </w:r>
    </w:p>
    <w:p w:rsidR="00110285" w:rsidRPr="00C63B08" w:rsidRDefault="00110285" w:rsidP="00110285">
      <w:pPr>
        <w:widowControl/>
        <w:ind w:firstLine="480"/>
        <w:rPr>
          <w:rFonts w:ascii="仿宋_GB2312" w:eastAsia="仿宋_GB2312"/>
          <w:sz w:val="32"/>
          <w:szCs w:val="32"/>
        </w:rPr>
      </w:pPr>
      <w:r w:rsidRPr="002D583B">
        <w:rPr>
          <w:rFonts w:ascii="仿宋" w:eastAsia="仿宋" w:hAnsi="仿宋" w:hint="eastAsia"/>
          <w:sz w:val="32"/>
          <w:szCs w:val="32"/>
        </w:rPr>
        <w:t>2．一般公共预算财政拨款支出情况。</w:t>
      </w:r>
      <w:r>
        <w:rPr>
          <w:rFonts w:ascii="仿宋_GB2312" w:eastAsia="仿宋_GB2312" w:hint="eastAsia"/>
          <w:sz w:val="32"/>
          <w:szCs w:val="32"/>
        </w:rPr>
        <w:t>2018年支出461.63万元，其中基本支出293.32万元，占总支出的63.54%，项</w:t>
      </w:r>
      <w:r>
        <w:rPr>
          <w:rFonts w:ascii="仿宋_GB2312" w:eastAsia="仿宋_GB2312" w:hint="eastAsia"/>
          <w:sz w:val="32"/>
          <w:szCs w:val="32"/>
        </w:rPr>
        <w:lastRenderedPageBreak/>
        <w:t>目支出168.31万元，占总支出的36.46%</w:t>
      </w:r>
      <w:r w:rsidRPr="00C63B08">
        <w:rPr>
          <w:rFonts w:ascii="仿宋_GB2312" w:eastAsia="仿宋_GB2312" w:hint="eastAsia"/>
          <w:sz w:val="32"/>
          <w:szCs w:val="32"/>
        </w:rPr>
        <w:t xml:space="preserve"> </w:t>
      </w:r>
      <w:r>
        <w:rPr>
          <w:rFonts w:ascii="仿宋_GB2312" w:eastAsia="仿宋_GB2312" w:hint="eastAsia"/>
          <w:sz w:val="32"/>
          <w:szCs w:val="32"/>
        </w:rPr>
        <w:t>。</w:t>
      </w:r>
      <w:r w:rsidRPr="000F2564">
        <w:rPr>
          <w:rFonts w:ascii="仿宋_GB2312" w:eastAsia="仿宋_GB2312" w:hAnsi="仿宋" w:hint="eastAsia"/>
          <w:sz w:val="32"/>
          <w:szCs w:val="32"/>
        </w:rPr>
        <w:t>2017年实际收到的公共预算财政拨款</w:t>
      </w:r>
      <w:r>
        <w:rPr>
          <w:rFonts w:ascii="仿宋_GB2312" w:eastAsia="仿宋_GB2312" w:hAnsi="仿宋" w:hint="eastAsia"/>
          <w:sz w:val="32"/>
          <w:szCs w:val="32"/>
        </w:rPr>
        <w:t>支出</w:t>
      </w:r>
      <w:r w:rsidRPr="000F2564">
        <w:rPr>
          <w:rFonts w:ascii="仿宋_GB2312" w:eastAsia="仿宋_GB2312" w:hAnsi="仿宋" w:hint="eastAsia"/>
          <w:sz w:val="32"/>
          <w:szCs w:val="32"/>
        </w:rPr>
        <w:t>318.67万元，其中基本</w:t>
      </w:r>
      <w:r>
        <w:rPr>
          <w:rFonts w:ascii="仿宋_GB2312" w:eastAsia="仿宋_GB2312" w:hAnsi="仿宋" w:hint="eastAsia"/>
          <w:sz w:val="32"/>
          <w:szCs w:val="32"/>
        </w:rPr>
        <w:t>支出</w:t>
      </w:r>
      <w:r w:rsidRPr="000F2564">
        <w:rPr>
          <w:rFonts w:ascii="仿宋_GB2312" w:eastAsia="仿宋_GB2312" w:hAnsi="仿宋" w:hint="eastAsia"/>
          <w:sz w:val="32"/>
          <w:szCs w:val="32"/>
        </w:rPr>
        <w:t>266.42万元，项目</w:t>
      </w:r>
      <w:r>
        <w:rPr>
          <w:rFonts w:ascii="仿宋_GB2312" w:eastAsia="仿宋_GB2312" w:hAnsi="仿宋" w:hint="eastAsia"/>
          <w:sz w:val="32"/>
          <w:szCs w:val="32"/>
        </w:rPr>
        <w:t>支出</w:t>
      </w:r>
      <w:r w:rsidRPr="000F2564">
        <w:rPr>
          <w:rFonts w:ascii="仿宋_GB2312" w:eastAsia="仿宋_GB2312" w:hAnsi="仿宋" w:hint="eastAsia"/>
          <w:sz w:val="32"/>
          <w:szCs w:val="32"/>
        </w:rPr>
        <w:t>52.25万元。总体</w:t>
      </w:r>
      <w:r>
        <w:rPr>
          <w:rFonts w:ascii="仿宋_GB2312" w:eastAsia="仿宋_GB2312" w:hAnsi="仿宋" w:hint="eastAsia"/>
          <w:sz w:val="32"/>
          <w:szCs w:val="32"/>
        </w:rPr>
        <w:t>支出</w:t>
      </w:r>
      <w:r w:rsidRPr="000F2564">
        <w:rPr>
          <w:rFonts w:ascii="仿宋_GB2312" w:eastAsia="仿宋_GB2312" w:hAnsi="仿宋" w:hint="eastAsia"/>
          <w:sz w:val="32"/>
          <w:szCs w:val="32"/>
        </w:rPr>
        <w:t>比上年</w:t>
      </w:r>
      <w:r>
        <w:rPr>
          <w:rFonts w:ascii="仿宋_GB2312" w:eastAsia="仿宋_GB2312" w:hAnsi="仿宋" w:hint="eastAsia"/>
          <w:sz w:val="32"/>
          <w:szCs w:val="32"/>
        </w:rPr>
        <w:t>增加142.96</w:t>
      </w:r>
      <w:r w:rsidRPr="000F2564">
        <w:rPr>
          <w:rFonts w:ascii="仿宋_GB2312" w:eastAsia="仿宋_GB2312" w:hAnsi="仿宋" w:hint="eastAsia"/>
          <w:sz w:val="32"/>
          <w:szCs w:val="32"/>
        </w:rPr>
        <w:t>万元，</w:t>
      </w:r>
      <w:r>
        <w:rPr>
          <w:rFonts w:ascii="仿宋_GB2312" w:eastAsia="仿宋_GB2312" w:hAnsi="仿宋" w:hint="eastAsia"/>
          <w:sz w:val="32"/>
          <w:szCs w:val="32"/>
        </w:rPr>
        <w:t>增加</w:t>
      </w:r>
      <w:r w:rsidRPr="000F2564">
        <w:rPr>
          <w:rFonts w:ascii="仿宋_GB2312" w:eastAsia="仿宋_GB2312" w:hAnsi="仿宋" w:hint="eastAsia"/>
          <w:sz w:val="32"/>
          <w:szCs w:val="32"/>
        </w:rPr>
        <w:t>了</w:t>
      </w:r>
      <w:r>
        <w:rPr>
          <w:rFonts w:ascii="仿宋_GB2312" w:eastAsia="仿宋_GB2312" w:hAnsi="仿宋" w:hint="eastAsia"/>
          <w:sz w:val="32"/>
          <w:szCs w:val="32"/>
        </w:rPr>
        <w:t>44.86</w:t>
      </w:r>
      <w:r w:rsidRPr="000F2564">
        <w:rPr>
          <w:rFonts w:ascii="仿宋_GB2312" w:eastAsia="仿宋_GB2312" w:hAnsi="仿宋" w:hint="eastAsia"/>
          <w:sz w:val="32"/>
          <w:szCs w:val="32"/>
        </w:rPr>
        <w:t>%，基本</w:t>
      </w:r>
      <w:r>
        <w:rPr>
          <w:rFonts w:ascii="仿宋_GB2312" w:eastAsia="仿宋_GB2312" w:hAnsi="仿宋" w:hint="eastAsia"/>
          <w:sz w:val="32"/>
          <w:szCs w:val="32"/>
        </w:rPr>
        <w:t>支出</w:t>
      </w:r>
      <w:r w:rsidRPr="000F2564">
        <w:rPr>
          <w:rFonts w:ascii="仿宋_GB2312" w:eastAsia="仿宋_GB2312" w:hAnsi="仿宋" w:hint="eastAsia"/>
          <w:sz w:val="32"/>
          <w:szCs w:val="32"/>
        </w:rPr>
        <w:t>比上年增加</w:t>
      </w:r>
      <w:r>
        <w:rPr>
          <w:rFonts w:ascii="仿宋_GB2312" w:eastAsia="仿宋_GB2312" w:hAnsi="仿宋" w:hint="eastAsia"/>
          <w:sz w:val="32"/>
          <w:szCs w:val="32"/>
        </w:rPr>
        <w:t>26.9</w:t>
      </w:r>
      <w:r w:rsidRPr="000F2564">
        <w:rPr>
          <w:rFonts w:ascii="仿宋_GB2312" w:eastAsia="仿宋_GB2312" w:hAnsi="仿宋" w:hint="eastAsia"/>
          <w:sz w:val="32"/>
          <w:szCs w:val="32"/>
        </w:rPr>
        <w:t>万元，增加了</w:t>
      </w:r>
      <w:r>
        <w:rPr>
          <w:rFonts w:ascii="仿宋_GB2312" w:eastAsia="仿宋_GB2312" w:hAnsi="仿宋" w:hint="eastAsia"/>
          <w:sz w:val="32"/>
          <w:szCs w:val="32"/>
        </w:rPr>
        <w:t>10.1</w:t>
      </w:r>
      <w:r w:rsidRPr="000F2564">
        <w:rPr>
          <w:rFonts w:ascii="仿宋_GB2312" w:eastAsia="仿宋_GB2312" w:hAnsi="仿宋" w:hint="eastAsia"/>
          <w:sz w:val="32"/>
          <w:szCs w:val="32"/>
        </w:rPr>
        <w:t>%，主要受人员工资变动；</w:t>
      </w:r>
      <w:r w:rsidRPr="00C63B08">
        <w:rPr>
          <w:rFonts w:ascii="仿宋_GB2312" w:eastAsia="仿宋_GB2312" w:hint="eastAsia"/>
          <w:sz w:val="32"/>
          <w:szCs w:val="32"/>
        </w:rPr>
        <w:t>项目支出</w:t>
      </w:r>
      <w:r>
        <w:rPr>
          <w:rFonts w:ascii="仿宋_GB2312" w:eastAsia="仿宋_GB2312" w:hint="eastAsia"/>
          <w:sz w:val="32"/>
          <w:szCs w:val="32"/>
        </w:rPr>
        <w:t>增加112.07</w:t>
      </w:r>
      <w:r w:rsidRPr="00C63B08">
        <w:rPr>
          <w:rFonts w:ascii="仿宋_GB2312" w:eastAsia="仿宋_GB2312" w:hint="eastAsia"/>
          <w:sz w:val="32"/>
          <w:szCs w:val="32"/>
        </w:rPr>
        <w:t>万元，</w:t>
      </w:r>
      <w:r>
        <w:rPr>
          <w:rFonts w:ascii="仿宋_GB2312" w:eastAsia="仿宋_GB2312" w:hint="eastAsia"/>
          <w:sz w:val="32"/>
          <w:szCs w:val="32"/>
        </w:rPr>
        <w:t>增加214.51</w:t>
      </w:r>
      <w:r w:rsidRPr="00C63B08">
        <w:rPr>
          <w:rFonts w:ascii="仿宋_GB2312" w:eastAsia="仿宋_GB2312" w:hint="eastAsia"/>
          <w:sz w:val="32"/>
          <w:szCs w:val="32"/>
        </w:rPr>
        <w:t>%，主要原因是</w:t>
      </w:r>
      <w:r>
        <w:rPr>
          <w:rFonts w:ascii="仿宋_GB2312" w:eastAsia="仿宋_GB2312" w:hint="eastAsia"/>
          <w:sz w:val="32"/>
          <w:szCs w:val="32"/>
        </w:rPr>
        <w:t>追加2017年政法工作会议经费、扫黑除恶宣传培训经费</w:t>
      </w:r>
      <w:r w:rsidRPr="00C63B08">
        <w:rPr>
          <w:rFonts w:ascii="仿宋_GB2312" w:eastAsia="仿宋_GB2312" w:hint="eastAsia"/>
          <w:sz w:val="32"/>
          <w:szCs w:val="32"/>
        </w:rPr>
        <w:t>。</w:t>
      </w:r>
    </w:p>
    <w:p w:rsidR="00110285" w:rsidRPr="00C63B08" w:rsidRDefault="00110285" w:rsidP="00110285">
      <w:pPr>
        <w:widowControl/>
        <w:ind w:firstLine="480"/>
        <w:rPr>
          <w:rFonts w:ascii="仿宋_GB2312" w:eastAsia="仿宋_GB2312"/>
          <w:sz w:val="32"/>
          <w:szCs w:val="32"/>
        </w:rPr>
      </w:pPr>
      <w:r w:rsidRPr="002D583B">
        <w:rPr>
          <w:rFonts w:ascii="仿宋" w:eastAsia="仿宋" w:hAnsi="仿宋" w:hint="eastAsia"/>
          <w:sz w:val="32"/>
          <w:szCs w:val="32"/>
        </w:rPr>
        <w:t>3．一般公共预算财政拨款基本支出决算情况。</w:t>
      </w:r>
      <w:r>
        <w:rPr>
          <w:rFonts w:ascii="仿宋_GB2312" w:eastAsia="仿宋_GB2312" w:hint="eastAsia"/>
          <w:sz w:val="32"/>
          <w:szCs w:val="32"/>
        </w:rPr>
        <w:t>2018年支出461.63万元，其中基本支出293.32万元，占总收入的63.54%，项目支出168.31万元，占总收入的36.46%</w:t>
      </w:r>
      <w:r w:rsidRPr="00C63B08">
        <w:rPr>
          <w:rFonts w:ascii="仿宋_GB2312" w:eastAsia="仿宋_GB2312" w:hint="eastAsia"/>
          <w:sz w:val="32"/>
          <w:szCs w:val="32"/>
        </w:rPr>
        <w:t xml:space="preserve"> </w:t>
      </w:r>
      <w:r>
        <w:rPr>
          <w:rFonts w:ascii="仿宋_GB2312" w:eastAsia="仿宋_GB2312" w:hint="eastAsia"/>
          <w:sz w:val="32"/>
          <w:szCs w:val="32"/>
        </w:rPr>
        <w:t>。</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4．政府性基金财政拨款收支情况说明</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本部门无政府性基金决算收支，并已公开空表。</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5．国有资本经营财政拨款收支情况说明</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本部门无国有资本经营决算拨款收支。</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6．政府采购支出情况</w:t>
      </w:r>
    </w:p>
    <w:p w:rsidR="00341410" w:rsidRPr="000F2564" w:rsidRDefault="00341410" w:rsidP="00341410">
      <w:pPr>
        <w:spacing w:line="550" w:lineRule="exact"/>
        <w:ind w:firstLineChars="200" w:firstLine="640"/>
        <w:rPr>
          <w:rFonts w:ascii="仿宋_GB2312" w:eastAsia="仿宋_GB2312" w:hAnsi="仿宋"/>
          <w:sz w:val="32"/>
          <w:szCs w:val="32"/>
        </w:rPr>
      </w:pPr>
      <w:r w:rsidRPr="000F2564">
        <w:rPr>
          <w:rFonts w:ascii="仿宋_GB2312" w:eastAsia="仿宋_GB2312" w:hAnsi="仿宋" w:hint="eastAsia"/>
          <w:sz w:val="32"/>
          <w:szCs w:val="32"/>
        </w:rPr>
        <w:t>201</w:t>
      </w:r>
      <w:r>
        <w:rPr>
          <w:rFonts w:ascii="仿宋_GB2312" w:eastAsia="仿宋_GB2312" w:hAnsi="仿宋" w:hint="eastAsia"/>
          <w:sz w:val="32"/>
          <w:szCs w:val="32"/>
        </w:rPr>
        <w:t>8</w:t>
      </w:r>
      <w:r w:rsidRPr="000F2564">
        <w:rPr>
          <w:rFonts w:ascii="仿宋_GB2312" w:eastAsia="仿宋_GB2312" w:hAnsi="仿宋" w:hint="eastAsia"/>
          <w:sz w:val="32"/>
          <w:szCs w:val="32"/>
        </w:rPr>
        <w:t>年本部门政府采购支出总额共</w:t>
      </w:r>
      <w:r>
        <w:rPr>
          <w:rFonts w:ascii="仿宋_GB2312" w:eastAsia="仿宋_GB2312" w:hAnsi="仿宋" w:hint="eastAsia"/>
          <w:sz w:val="32"/>
          <w:szCs w:val="32"/>
        </w:rPr>
        <w:t>2.86</w:t>
      </w:r>
      <w:r w:rsidRPr="000F2564">
        <w:rPr>
          <w:rFonts w:ascii="仿宋_GB2312" w:eastAsia="仿宋_GB2312" w:hAnsi="仿宋" w:hint="eastAsia"/>
          <w:sz w:val="32"/>
          <w:szCs w:val="32"/>
        </w:rPr>
        <w:t>万元，其中政府采购货物类支出</w:t>
      </w:r>
      <w:r>
        <w:rPr>
          <w:rFonts w:ascii="仿宋_GB2312" w:eastAsia="仿宋_GB2312" w:hAnsi="仿宋" w:hint="eastAsia"/>
          <w:sz w:val="32"/>
          <w:szCs w:val="32"/>
        </w:rPr>
        <w:t>2.86</w:t>
      </w:r>
      <w:r w:rsidRPr="000F2564">
        <w:rPr>
          <w:rFonts w:ascii="仿宋_GB2312" w:eastAsia="仿宋_GB2312" w:hAnsi="仿宋" w:hint="eastAsia"/>
          <w:sz w:val="32"/>
          <w:szCs w:val="32"/>
        </w:rPr>
        <w:t>万元、政府采购工程类支出0万元、政府采购服务类支出0万元</w:t>
      </w:r>
      <w:r w:rsidR="004F7165">
        <w:rPr>
          <w:rFonts w:ascii="仿宋_GB2312" w:eastAsia="仿宋_GB2312" w:hAnsi="仿宋" w:hint="eastAsia"/>
          <w:sz w:val="32"/>
          <w:szCs w:val="32"/>
        </w:rPr>
        <w:t>，</w:t>
      </w:r>
      <w:r w:rsidR="004F7165" w:rsidRPr="004F7165">
        <w:rPr>
          <w:rFonts w:ascii="仿宋_GB2312" w:eastAsia="仿宋_GB2312" w:hAnsi="仿宋" w:hint="eastAsia"/>
          <w:sz w:val="32"/>
          <w:szCs w:val="32"/>
        </w:rPr>
        <w:t>授予中小企业的合同金额</w:t>
      </w:r>
      <w:r w:rsidR="00BE53D0">
        <w:rPr>
          <w:rFonts w:ascii="仿宋_GB2312" w:eastAsia="仿宋_GB2312" w:hAnsi="仿宋" w:hint="eastAsia"/>
          <w:sz w:val="32"/>
          <w:szCs w:val="32"/>
        </w:rPr>
        <w:t>0元，</w:t>
      </w:r>
      <w:r w:rsidR="004F7165" w:rsidRPr="004F7165">
        <w:rPr>
          <w:rFonts w:ascii="仿宋_GB2312" w:eastAsia="仿宋_GB2312" w:hAnsi="仿宋" w:hint="eastAsia"/>
          <w:sz w:val="32"/>
          <w:szCs w:val="32"/>
        </w:rPr>
        <w:t>占政府采购支出</w:t>
      </w:r>
      <w:r w:rsidR="00BE53D0">
        <w:rPr>
          <w:rFonts w:ascii="仿宋_GB2312" w:eastAsia="仿宋_GB2312" w:hAnsi="仿宋" w:hint="eastAsia"/>
          <w:sz w:val="32"/>
          <w:szCs w:val="32"/>
        </w:rPr>
        <w:t>2.86万元，为</w:t>
      </w:r>
      <w:proofErr w:type="gramStart"/>
      <w:r w:rsidR="00BE53D0">
        <w:rPr>
          <w:rFonts w:ascii="仿宋_GB2312" w:eastAsia="仿宋_GB2312" w:hAnsi="仿宋" w:hint="eastAsia"/>
          <w:sz w:val="32"/>
          <w:szCs w:val="32"/>
        </w:rPr>
        <w:t>采购总</w:t>
      </w:r>
      <w:proofErr w:type="gramEnd"/>
      <w:r w:rsidR="00BE53D0">
        <w:rPr>
          <w:rFonts w:ascii="仿宋_GB2312" w:eastAsia="仿宋_GB2312" w:hAnsi="仿宋" w:hint="eastAsia"/>
          <w:sz w:val="32"/>
          <w:szCs w:val="32"/>
        </w:rPr>
        <w:t>金额的100%。</w:t>
      </w:r>
      <w:r w:rsidRPr="000F2564">
        <w:rPr>
          <w:rFonts w:ascii="仿宋_GB2312" w:eastAsia="仿宋_GB2312" w:hAnsi="仿宋" w:hint="eastAsia"/>
          <w:sz w:val="32"/>
          <w:szCs w:val="32"/>
        </w:rPr>
        <w:t>。</w:t>
      </w:r>
    </w:p>
    <w:p w:rsidR="00245E2D" w:rsidRDefault="00245E2D" w:rsidP="00245E2D">
      <w:pPr>
        <w:spacing w:line="550" w:lineRule="exact"/>
        <w:ind w:firstLineChars="200" w:firstLine="640"/>
        <w:rPr>
          <w:rFonts w:ascii="楷体" w:eastAsia="楷体" w:hAnsi="楷体" w:cs="楷体"/>
          <w:sz w:val="32"/>
          <w:szCs w:val="32"/>
        </w:rPr>
      </w:pPr>
      <w:r>
        <w:rPr>
          <w:rFonts w:ascii="楷体" w:eastAsia="楷体" w:hAnsi="楷体" w:cs="楷体" w:hint="eastAsia"/>
          <w:sz w:val="32"/>
          <w:szCs w:val="32"/>
        </w:rPr>
        <w:t>（三）2018年度“三公”经费支出情况说明</w:t>
      </w:r>
    </w:p>
    <w:p w:rsidR="00341410" w:rsidRDefault="00341410" w:rsidP="00341410">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w:t>
      </w:r>
      <w:r w:rsidRPr="001425EA">
        <w:rPr>
          <w:rFonts w:ascii="仿宋_GB2312" w:eastAsia="仿宋_GB2312" w:hAnsi="仿宋" w:hint="eastAsia"/>
          <w:sz w:val="32"/>
          <w:szCs w:val="32"/>
        </w:rPr>
        <w:t>三公</w:t>
      </w:r>
      <w:r>
        <w:rPr>
          <w:rFonts w:ascii="仿宋_GB2312" w:eastAsia="仿宋_GB2312" w:hAnsi="仿宋" w:hint="eastAsia"/>
          <w:sz w:val="32"/>
          <w:szCs w:val="32"/>
        </w:rPr>
        <w:t>”</w:t>
      </w:r>
      <w:r w:rsidRPr="001425EA">
        <w:rPr>
          <w:rFonts w:ascii="仿宋_GB2312" w:eastAsia="仿宋_GB2312" w:hAnsi="仿宋" w:hint="eastAsia"/>
          <w:sz w:val="32"/>
          <w:szCs w:val="32"/>
        </w:rPr>
        <w:t>经费支出情况：</w:t>
      </w:r>
      <w:r>
        <w:rPr>
          <w:rFonts w:ascii="仿宋_GB2312" w:eastAsia="仿宋_GB2312" w:hAnsi="仿宋" w:hint="eastAsia"/>
          <w:sz w:val="32"/>
          <w:szCs w:val="32"/>
        </w:rPr>
        <w:t>本年度“三公经费”总额15258元，上年决算数9000元，增加了6258元，主要因工作需要接待增加以及公务车修理</w:t>
      </w:r>
      <w:r w:rsidRPr="005C44A7">
        <w:rPr>
          <w:rFonts w:ascii="仿宋_GB2312" w:eastAsia="仿宋_GB2312" w:hAnsi="仿宋" w:hint="eastAsia"/>
          <w:sz w:val="32"/>
          <w:szCs w:val="32"/>
        </w:rPr>
        <w:t>。</w:t>
      </w:r>
    </w:p>
    <w:p w:rsidR="00341410" w:rsidRPr="00791DC2" w:rsidRDefault="00341410" w:rsidP="00341410">
      <w:pPr>
        <w:spacing w:line="550" w:lineRule="exact"/>
        <w:ind w:firstLineChars="200" w:firstLine="640"/>
        <w:rPr>
          <w:rFonts w:ascii="仿宋_GB2312" w:eastAsia="仿宋_GB2312" w:hAnsi="仿宋"/>
          <w:sz w:val="32"/>
          <w:szCs w:val="32"/>
        </w:rPr>
      </w:pPr>
      <w:r w:rsidRPr="00791DC2">
        <w:rPr>
          <w:rFonts w:ascii="仿宋_GB2312" w:eastAsia="仿宋_GB2312" w:hAnsi="仿宋" w:hint="eastAsia"/>
          <w:sz w:val="32"/>
          <w:szCs w:val="32"/>
        </w:rPr>
        <w:lastRenderedPageBreak/>
        <w:t>具体情况如下：</w:t>
      </w:r>
    </w:p>
    <w:p w:rsidR="00341410" w:rsidRDefault="00341410" w:rsidP="00341410">
      <w:pPr>
        <w:snapToGrid w:val="0"/>
        <w:spacing w:line="360" w:lineRule="auto"/>
        <w:ind w:firstLineChars="200" w:firstLine="640"/>
        <w:rPr>
          <w:rFonts w:ascii="仿宋_GB2312" w:eastAsia="仿宋_GB2312" w:hAnsi="仿宋"/>
          <w:sz w:val="32"/>
          <w:szCs w:val="32"/>
        </w:rPr>
      </w:pPr>
      <w:r w:rsidRPr="001425EA">
        <w:rPr>
          <w:rFonts w:ascii="仿宋_GB2312" w:eastAsia="仿宋_GB2312" w:hAnsi="仿宋" w:hint="eastAsia"/>
          <w:sz w:val="32"/>
          <w:szCs w:val="32"/>
        </w:rPr>
        <w:t>（1）</w:t>
      </w:r>
      <w:r>
        <w:rPr>
          <w:rFonts w:ascii="仿宋_GB2312" w:eastAsia="仿宋_GB2312" w:hAnsi="仿宋" w:hint="eastAsia"/>
          <w:sz w:val="32"/>
          <w:szCs w:val="32"/>
        </w:rPr>
        <w:t>“</w:t>
      </w:r>
      <w:r w:rsidRPr="001425EA">
        <w:rPr>
          <w:rFonts w:ascii="仿宋_GB2312" w:eastAsia="仿宋_GB2312" w:hAnsi="仿宋" w:hint="eastAsia"/>
          <w:sz w:val="32"/>
          <w:szCs w:val="32"/>
        </w:rPr>
        <w:t>三公</w:t>
      </w:r>
      <w:r>
        <w:rPr>
          <w:rFonts w:ascii="仿宋_GB2312" w:eastAsia="仿宋_GB2312" w:hAnsi="仿宋" w:hint="eastAsia"/>
          <w:sz w:val="32"/>
          <w:szCs w:val="32"/>
        </w:rPr>
        <w:t>”</w:t>
      </w:r>
      <w:r w:rsidRPr="001425EA">
        <w:rPr>
          <w:rFonts w:ascii="仿宋_GB2312" w:eastAsia="仿宋_GB2312" w:hAnsi="仿宋" w:hint="eastAsia"/>
          <w:sz w:val="32"/>
          <w:szCs w:val="32"/>
        </w:rPr>
        <w:t>经费支出情况：</w:t>
      </w:r>
      <w:r w:rsidR="00BE53D0">
        <w:rPr>
          <w:rFonts w:ascii="仿宋_GB2312" w:eastAsia="仿宋_GB2312" w:hAnsi="仿宋" w:hint="eastAsia"/>
          <w:sz w:val="32"/>
          <w:szCs w:val="32"/>
        </w:rPr>
        <w:t>本年度“三公经费”总额1</w:t>
      </w:r>
      <w:r w:rsidR="00254B2B">
        <w:rPr>
          <w:rFonts w:ascii="仿宋_GB2312" w:eastAsia="仿宋_GB2312" w:hAnsi="仿宋" w:hint="eastAsia"/>
          <w:sz w:val="32"/>
          <w:szCs w:val="32"/>
        </w:rPr>
        <w:t>.</w:t>
      </w:r>
      <w:r w:rsidR="00BE53D0">
        <w:rPr>
          <w:rFonts w:ascii="仿宋_GB2312" w:eastAsia="仿宋_GB2312" w:hAnsi="仿宋" w:hint="eastAsia"/>
          <w:sz w:val="32"/>
          <w:szCs w:val="32"/>
        </w:rPr>
        <w:t>5</w:t>
      </w:r>
      <w:r w:rsidR="00254B2B">
        <w:rPr>
          <w:rFonts w:ascii="仿宋_GB2312" w:eastAsia="仿宋_GB2312" w:hAnsi="仿宋" w:hint="eastAsia"/>
          <w:sz w:val="32"/>
          <w:szCs w:val="32"/>
        </w:rPr>
        <w:t>3万</w:t>
      </w:r>
      <w:r w:rsidR="00BE53D0">
        <w:rPr>
          <w:rFonts w:ascii="仿宋_GB2312" w:eastAsia="仿宋_GB2312" w:hAnsi="仿宋" w:hint="eastAsia"/>
          <w:sz w:val="32"/>
          <w:szCs w:val="32"/>
        </w:rPr>
        <w:t>元</w:t>
      </w:r>
      <w:r w:rsidR="00BE53D0">
        <w:rPr>
          <w:rFonts w:ascii="仿宋_GB2312" w:eastAsia="仿宋_GB2312" w:hAnsi="仿宋" w:hint="eastAsia"/>
          <w:sz w:val="32"/>
          <w:szCs w:val="32"/>
        </w:rPr>
        <w:t>，</w:t>
      </w:r>
      <w:r w:rsidR="00AE5EE9">
        <w:rPr>
          <w:rFonts w:ascii="仿宋_GB2312" w:eastAsia="仿宋_GB2312" w:hAnsi="仿宋" w:hint="eastAsia"/>
          <w:sz w:val="32"/>
          <w:szCs w:val="32"/>
        </w:rPr>
        <w:t>其中公务用车维护费1.25万元</w:t>
      </w:r>
      <w:r w:rsidR="00AE5EE9">
        <w:rPr>
          <w:rFonts w:ascii="仿宋_GB2312" w:eastAsia="仿宋_GB2312" w:hAnsi="仿宋" w:hint="eastAsia"/>
          <w:sz w:val="32"/>
          <w:szCs w:val="32"/>
        </w:rPr>
        <w:t>，公务接待费0.28万元。2017</w:t>
      </w:r>
      <w:r w:rsidR="00AE5EE9">
        <w:rPr>
          <w:rFonts w:ascii="仿宋_GB2312" w:eastAsia="仿宋_GB2312" w:hAnsi="仿宋" w:hint="eastAsia"/>
          <w:sz w:val="32"/>
          <w:szCs w:val="32"/>
        </w:rPr>
        <w:t>“三公经费”总额</w:t>
      </w:r>
      <w:r w:rsidR="00BE53D0">
        <w:rPr>
          <w:rFonts w:ascii="仿宋_GB2312" w:eastAsia="仿宋_GB2312" w:hAnsi="仿宋" w:hint="eastAsia"/>
          <w:sz w:val="32"/>
          <w:szCs w:val="32"/>
        </w:rPr>
        <w:t>决算数</w:t>
      </w:r>
      <w:r w:rsidR="00254B2B">
        <w:rPr>
          <w:rFonts w:ascii="仿宋_GB2312" w:eastAsia="仿宋_GB2312" w:hAnsi="仿宋" w:hint="eastAsia"/>
          <w:sz w:val="32"/>
          <w:szCs w:val="32"/>
        </w:rPr>
        <w:t>0.9</w:t>
      </w:r>
      <w:r w:rsidR="00BE53D0">
        <w:rPr>
          <w:rFonts w:ascii="仿宋_GB2312" w:eastAsia="仿宋_GB2312" w:hAnsi="仿宋" w:hint="eastAsia"/>
          <w:sz w:val="32"/>
          <w:szCs w:val="32"/>
        </w:rPr>
        <w:t>元，</w:t>
      </w:r>
      <w:r w:rsidR="00AE5EE9">
        <w:rPr>
          <w:rFonts w:ascii="仿宋_GB2312" w:eastAsia="仿宋_GB2312" w:hAnsi="仿宋" w:hint="eastAsia"/>
          <w:sz w:val="32"/>
          <w:szCs w:val="32"/>
        </w:rPr>
        <w:t>和上年比</w:t>
      </w:r>
      <w:r w:rsidR="00BE53D0">
        <w:rPr>
          <w:rFonts w:ascii="仿宋_GB2312" w:eastAsia="仿宋_GB2312" w:hAnsi="仿宋" w:hint="eastAsia"/>
          <w:sz w:val="32"/>
          <w:szCs w:val="32"/>
        </w:rPr>
        <w:t>增加了6258元</w:t>
      </w:r>
      <w:r w:rsidR="00BE53D0">
        <w:rPr>
          <w:rFonts w:ascii="仿宋_GB2312" w:eastAsia="仿宋_GB2312" w:hAnsi="仿宋" w:hint="eastAsia"/>
          <w:sz w:val="32"/>
          <w:szCs w:val="32"/>
        </w:rPr>
        <w:t>，</w:t>
      </w:r>
      <w:r w:rsidR="00BE53D0">
        <w:rPr>
          <w:rFonts w:ascii="仿宋_GB2312" w:eastAsia="仿宋_GB2312" w:hAnsi="仿宋" w:hint="eastAsia"/>
          <w:sz w:val="32"/>
          <w:szCs w:val="32"/>
        </w:rPr>
        <w:t>主要原</w:t>
      </w:r>
      <w:r w:rsidR="00BE53D0" w:rsidRPr="005C44A7">
        <w:rPr>
          <w:rFonts w:ascii="仿宋_GB2312" w:eastAsia="仿宋_GB2312" w:hAnsi="仿宋" w:hint="eastAsia"/>
          <w:sz w:val="32"/>
          <w:szCs w:val="32"/>
        </w:rPr>
        <w:t>因</w:t>
      </w:r>
      <w:r w:rsidR="00BE53D0">
        <w:rPr>
          <w:rFonts w:ascii="仿宋_GB2312" w:eastAsia="仿宋_GB2312" w:hAnsi="仿宋" w:hint="eastAsia"/>
          <w:sz w:val="32"/>
          <w:szCs w:val="32"/>
        </w:rPr>
        <w:t>公务车辆大修</w:t>
      </w:r>
      <w:r w:rsidR="00BE53D0">
        <w:rPr>
          <w:rFonts w:ascii="仿宋_GB2312" w:eastAsia="仿宋_GB2312" w:hAnsi="仿宋" w:hint="eastAsia"/>
          <w:sz w:val="32"/>
          <w:szCs w:val="32"/>
        </w:rPr>
        <w:t>。</w:t>
      </w:r>
    </w:p>
    <w:p w:rsidR="00341410" w:rsidRPr="001425EA" w:rsidRDefault="00341410" w:rsidP="00341410">
      <w:pPr>
        <w:snapToGrid w:val="0"/>
        <w:spacing w:line="360" w:lineRule="auto"/>
        <w:ind w:firstLineChars="200" w:firstLine="640"/>
        <w:rPr>
          <w:rFonts w:ascii="仿宋_GB2312" w:eastAsia="仿宋_GB2312" w:hAnsi="仿宋"/>
          <w:sz w:val="32"/>
          <w:szCs w:val="32"/>
        </w:rPr>
      </w:pPr>
      <w:r w:rsidRPr="001425EA">
        <w:rPr>
          <w:rFonts w:ascii="仿宋_GB2312" w:eastAsia="仿宋_GB2312" w:hAnsi="仿宋" w:hint="eastAsia"/>
          <w:sz w:val="32"/>
          <w:szCs w:val="32"/>
        </w:rPr>
        <w:t>（2）会议费支出情况：</w:t>
      </w:r>
      <w:r>
        <w:rPr>
          <w:rFonts w:ascii="仿宋_GB2312" w:eastAsia="仿宋_GB2312" w:hAnsi="仿宋" w:hint="eastAsia"/>
          <w:sz w:val="32"/>
          <w:szCs w:val="32"/>
        </w:rPr>
        <w:t>本年度会议费支出40</w:t>
      </w:r>
      <w:r w:rsidR="00254B2B">
        <w:rPr>
          <w:rFonts w:ascii="仿宋_GB2312" w:eastAsia="仿宋_GB2312" w:hAnsi="仿宋" w:hint="eastAsia"/>
          <w:sz w:val="32"/>
          <w:szCs w:val="32"/>
        </w:rPr>
        <w:t>.</w:t>
      </w:r>
      <w:r>
        <w:rPr>
          <w:rFonts w:ascii="仿宋_GB2312" w:eastAsia="仿宋_GB2312" w:hAnsi="仿宋" w:hint="eastAsia"/>
          <w:sz w:val="32"/>
          <w:szCs w:val="32"/>
        </w:rPr>
        <w:t>50</w:t>
      </w:r>
      <w:r w:rsidR="00254B2B">
        <w:rPr>
          <w:rFonts w:ascii="仿宋_GB2312" w:eastAsia="仿宋_GB2312" w:hAnsi="仿宋" w:hint="eastAsia"/>
          <w:sz w:val="32"/>
          <w:szCs w:val="32"/>
        </w:rPr>
        <w:t>万</w:t>
      </w:r>
      <w:r>
        <w:rPr>
          <w:rFonts w:ascii="仿宋_GB2312" w:eastAsia="仿宋_GB2312" w:hAnsi="仿宋" w:hint="eastAsia"/>
          <w:sz w:val="32"/>
          <w:szCs w:val="32"/>
        </w:rPr>
        <w:t>元，上年决算数</w:t>
      </w:r>
      <w:r w:rsidR="00254B2B">
        <w:rPr>
          <w:rFonts w:ascii="仿宋_GB2312" w:eastAsia="仿宋_GB2312" w:hAnsi="仿宋" w:hint="eastAsia"/>
          <w:sz w:val="32"/>
          <w:szCs w:val="32"/>
        </w:rPr>
        <w:t>0.</w:t>
      </w:r>
      <w:r>
        <w:rPr>
          <w:rFonts w:ascii="仿宋_GB2312" w:eastAsia="仿宋_GB2312" w:hAnsi="仿宋" w:hint="eastAsia"/>
          <w:sz w:val="32"/>
          <w:szCs w:val="32"/>
        </w:rPr>
        <w:t>13</w:t>
      </w:r>
      <w:r w:rsidR="00254B2B">
        <w:rPr>
          <w:rFonts w:ascii="仿宋_GB2312" w:eastAsia="仿宋_GB2312" w:hAnsi="仿宋" w:hint="eastAsia"/>
          <w:sz w:val="32"/>
          <w:szCs w:val="32"/>
        </w:rPr>
        <w:t>万</w:t>
      </w:r>
      <w:r>
        <w:rPr>
          <w:rFonts w:ascii="仿宋_GB2312" w:eastAsia="仿宋_GB2312" w:hAnsi="仿宋" w:hint="eastAsia"/>
          <w:sz w:val="32"/>
          <w:szCs w:val="32"/>
        </w:rPr>
        <w:t>元，比上年增加了40</w:t>
      </w:r>
      <w:r w:rsidR="00254B2B">
        <w:rPr>
          <w:rFonts w:ascii="仿宋_GB2312" w:eastAsia="仿宋_GB2312" w:hAnsi="仿宋" w:hint="eastAsia"/>
          <w:sz w:val="32"/>
          <w:szCs w:val="32"/>
        </w:rPr>
        <w:t>.</w:t>
      </w:r>
      <w:r>
        <w:rPr>
          <w:rFonts w:ascii="仿宋_GB2312" w:eastAsia="仿宋_GB2312" w:hAnsi="仿宋" w:hint="eastAsia"/>
          <w:sz w:val="32"/>
          <w:szCs w:val="32"/>
        </w:rPr>
        <w:t>37</w:t>
      </w:r>
      <w:r w:rsidR="00254B2B">
        <w:rPr>
          <w:rFonts w:ascii="仿宋_GB2312" w:eastAsia="仿宋_GB2312" w:hAnsi="仿宋" w:hint="eastAsia"/>
          <w:sz w:val="32"/>
          <w:szCs w:val="32"/>
        </w:rPr>
        <w:t>万</w:t>
      </w:r>
      <w:r>
        <w:rPr>
          <w:rFonts w:ascii="仿宋_GB2312" w:eastAsia="仿宋_GB2312" w:hAnsi="仿宋" w:hint="eastAsia"/>
          <w:sz w:val="32"/>
          <w:szCs w:val="32"/>
        </w:rPr>
        <w:t>元，主要原因是2017年政法工作会议经费增加，包括对政法先进单位和优秀红袖章的表彰。</w:t>
      </w:r>
    </w:p>
    <w:p w:rsidR="00341410" w:rsidRDefault="00341410" w:rsidP="00341410">
      <w:pPr>
        <w:snapToGrid w:val="0"/>
        <w:spacing w:line="520" w:lineRule="exact"/>
        <w:ind w:firstLineChars="200" w:firstLine="640"/>
        <w:rPr>
          <w:rFonts w:ascii="仿宋_GB2312" w:eastAsia="仿宋_GB2312" w:hAnsi="仿宋" w:hint="eastAsia"/>
          <w:sz w:val="32"/>
          <w:szCs w:val="32"/>
        </w:rPr>
      </w:pPr>
      <w:r w:rsidRPr="00A637C7">
        <w:rPr>
          <w:rFonts w:ascii="仿宋_GB2312" w:eastAsia="仿宋_GB2312" w:hAnsi="仿宋" w:hint="eastAsia"/>
          <w:sz w:val="32"/>
          <w:szCs w:val="32"/>
        </w:rPr>
        <w:t>（3）培训费支出情况：</w:t>
      </w:r>
      <w:r>
        <w:rPr>
          <w:rFonts w:ascii="仿宋_GB2312" w:eastAsia="仿宋_GB2312" w:hAnsi="仿宋" w:hint="eastAsia"/>
          <w:sz w:val="32"/>
          <w:szCs w:val="32"/>
        </w:rPr>
        <w:t>本年度培训费15</w:t>
      </w:r>
      <w:r w:rsidR="00254B2B">
        <w:rPr>
          <w:rFonts w:ascii="仿宋_GB2312" w:eastAsia="仿宋_GB2312" w:hAnsi="仿宋" w:hint="eastAsia"/>
          <w:sz w:val="32"/>
          <w:szCs w:val="32"/>
        </w:rPr>
        <w:t>.</w:t>
      </w:r>
      <w:r>
        <w:rPr>
          <w:rFonts w:ascii="仿宋_GB2312" w:eastAsia="仿宋_GB2312" w:hAnsi="仿宋" w:hint="eastAsia"/>
          <w:sz w:val="32"/>
          <w:szCs w:val="32"/>
        </w:rPr>
        <w:t>10</w:t>
      </w:r>
      <w:r w:rsidR="00254B2B">
        <w:rPr>
          <w:rFonts w:ascii="仿宋_GB2312" w:eastAsia="仿宋_GB2312" w:hAnsi="仿宋" w:hint="eastAsia"/>
          <w:sz w:val="32"/>
          <w:szCs w:val="32"/>
        </w:rPr>
        <w:t>万</w:t>
      </w:r>
      <w:bookmarkStart w:id="0" w:name="_GoBack"/>
      <w:bookmarkEnd w:id="0"/>
      <w:r>
        <w:rPr>
          <w:rFonts w:ascii="仿宋_GB2312" w:eastAsia="仿宋_GB2312" w:hAnsi="仿宋" w:hint="eastAsia"/>
          <w:sz w:val="32"/>
          <w:szCs w:val="32"/>
        </w:rPr>
        <w:t>元，上年度培训费0元，主要是追加了扫黑除恶宣传培训专项经费</w:t>
      </w:r>
      <w:r w:rsidRPr="00A637C7">
        <w:rPr>
          <w:rFonts w:ascii="仿宋_GB2312" w:eastAsia="仿宋_GB2312" w:hAnsi="仿宋" w:hint="eastAsia"/>
          <w:sz w:val="32"/>
          <w:szCs w:val="32"/>
        </w:rPr>
        <w:t>。</w:t>
      </w:r>
    </w:p>
    <w:p w:rsidR="00254B2B" w:rsidRDefault="00254B2B" w:rsidP="00254B2B">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下表为：</w:t>
      </w:r>
      <w:r w:rsidRPr="00AE5EE9">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三公经费</w:t>
      </w:r>
      <w:r>
        <w:rPr>
          <w:rFonts w:ascii="仿宋_GB2312" w:eastAsia="仿宋_GB2312" w:hAnsi="仿宋" w:hint="eastAsia"/>
          <w:sz w:val="32"/>
          <w:szCs w:val="32"/>
        </w:rPr>
        <w:t>”</w:t>
      </w:r>
      <w:r w:rsidRPr="00AE5EE9">
        <w:rPr>
          <w:rFonts w:ascii="仿宋_GB2312" w:eastAsia="仿宋_GB2312" w:hAnsi="仿宋" w:hint="eastAsia"/>
          <w:sz w:val="32"/>
          <w:szCs w:val="32"/>
        </w:rPr>
        <w:t>预决算增减变化情况</w:t>
      </w:r>
      <w:r w:rsidRPr="00254B2B">
        <w:rPr>
          <w:rFonts w:ascii="仿宋_GB2312" w:eastAsia="仿宋_GB2312" w:hAnsi="仿宋" w:hint="eastAsia"/>
          <w:sz w:val="32"/>
          <w:szCs w:val="32"/>
        </w:rPr>
        <w:t>表</w:t>
      </w: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254B2B" w:rsidRDefault="00254B2B" w:rsidP="00341410">
      <w:pPr>
        <w:snapToGrid w:val="0"/>
        <w:spacing w:line="520" w:lineRule="exact"/>
        <w:ind w:firstLineChars="200" w:firstLine="640"/>
        <w:rPr>
          <w:rFonts w:ascii="仿宋_GB2312" w:eastAsia="仿宋_GB2312" w:hAnsi="仿宋" w:hint="eastAsia"/>
          <w:sz w:val="32"/>
          <w:szCs w:val="32"/>
        </w:rPr>
      </w:pPr>
    </w:p>
    <w:p w:rsidR="00AE5EE9" w:rsidRDefault="00AE5EE9" w:rsidP="00341410">
      <w:pPr>
        <w:snapToGrid w:val="0"/>
        <w:spacing w:line="520" w:lineRule="exact"/>
        <w:ind w:firstLineChars="200" w:firstLine="640"/>
        <w:rPr>
          <w:rFonts w:ascii="仿宋_GB2312" w:eastAsia="仿宋_GB2312" w:hAnsi="仿宋" w:hint="eastAsia"/>
          <w:sz w:val="32"/>
          <w:szCs w:val="32"/>
        </w:rPr>
      </w:pPr>
    </w:p>
    <w:p w:rsidR="00254B2B" w:rsidRDefault="00254B2B" w:rsidP="00AE5EE9">
      <w:pPr>
        <w:widowControl/>
        <w:jc w:val="center"/>
        <w:rPr>
          <w:rFonts w:ascii="宋体" w:hAnsi="宋体" w:cs="宋体"/>
          <w:kern w:val="0"/>
          <w:sz w:val="18"/>
          <w:szCs w:val="18"/>
        </w:rPr>
        <w:sectPr w:rsidR="00254B2B" w:rsidSect="00E1419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tbl>
      <w:tblPr>
        <w:tblW w:w="140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62"/>
        <w:gridCol w:w="489"/>
        <w:gridCol w:w="486"/>
        <w:gridCol w:w="403"/>
        <w:gridCol w:w="494"/>
        <w:gridCol w:w="488"/>
        <w:gridCol w:w="488"/>
        <w:gridCol w:w="576"/>
        <w:gridCol w:w="763"/>
        <w:gridCol w:w="579"/>
        <w:gridCol w:w="397"/>
        <w:gridCol w:w="403"/>
        <w:gridCol w:w="663"/>
        <w:gridCol w:w="766"/>
        <w:gridCol w:w="766"/>
        <w:gridCol w:w="666"/>
        <w:gridCol w:w="397"/>
        <w:gridCol w:w="763"/>
        <w:gridCol w:w="669"/>
        <w:gridCol w:w="397"/>
        <w:gridCol w:w="403"/>
        <w:gridCol w:w="673"/>
        <w:gridCol w:w="398"/>
        <w:gridCol w:w="706"/>
      </w:tblGrid>
      <w:tr w:rsidR="00AE5EE9" w:rsidRPr="00AE5EE9" w:rsidTr="00254B2B">
        <w:trPr>
          <w:trHeight w:val="345"/>
        </w:trPr>
        <w:tc>
          <w:tcPr>
            <w:tcW w:w="0" w:type="auto"/>
            <w:gridSpan w:val="8"/>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lastRenderedPageBreak/>
              <w:t>2018年预算</w:t>
            </w:r>
          </w:p>
        </w:tc>
        <w:tc>
          <w:tcPr>
            <w:tcW w:w="0" w:type="auto"/>
            <w:gridSpan w:val="8"/>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2018年决算</w:t>
            </w:r>
          </w:p>
        </w:tc>
        <w:tc>
          <w:tcPr>
            <w:tcW w:w="6354" w:type="dxa"/>
            <w:gridSpan w:val="9"/>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2018预决算增减变化情况</w:t>
            </w:r>
          </w:p>
        </w:tc>
      </w:tr>
      <w:tr w:rsidR="00AE5EE9" w:rsidRPr="00AE5EE9" w:rsidTr="00254B2B">
        <w:trPr>
          <w:trHeight w:val="345"/>
        </w:trPr>
        <w:tc>
          <w:tcPr>
            <w:tcW w:w="0" w:type="auto"/>
            <w:gridSpan w:val="6"/>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一般公共预算拨款安排的“三公”经费预算</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会议费</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培训费</w:t>
            </w:r>
          </w:p>
        </w:tc>
        <w:tc>
          <w:tcPr>
            <w:tcW w:w="0" w:type="auto"/>
            <w:gridSpan w:val="6"/>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一般公共预算拨款安排的“三公”经费预算</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会议费</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培训费</w:t>
            </w:r>
          </w:p>
        </w:tc>
        <w:tc>
          <w:tcPr>
            <w:tcW w:w="0" w:type="auto"/>
            <w:vMerge w:val="restart"/>
            <w:shd w:val="clear" w:color="auto" w:fill="auto"/>
            <w:noWrap/>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合计</w:t>
            </w:r>
          </w:p>
        </w:tc>
        <w:tc>
          <w:tcPr>
            <w:tcW w:w="0" w:type="auto"/>
            <w:gridSpan w:val="6"/>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一般公共预算拨款安排的“三公”经费预算</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会议费</w:t>
            </w:r>
          </w:p>
        </w:tc>
        <w:tc>
          <w:tcPr>
            <w:tcW w:w="706" w:type="dxa"/>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培训费</w:t>
            </w:r>
          </w:p>
        </w:tc>
      </w:tr>
      <w:tr w:rsidR="00254B2B" w:rsidRPr="00AE5EE9" w:rsidTr="00254B2B">
        <w:trPr>
          <w:trHeight w:val="465"/>
        </w:trPr>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小计</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因公出国（境）费用</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公务接待费</w:t>
            </w:r>
          </w:p>
        </w:tc>
        <w:tc>
          <w:tcPr>
            <w:tcW w:w="0" w:type="auto"/>
            <w:gridSpan w:val="3"/>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公务用车购置及运行维护费</w:t>
            </w: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小计</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因公出国（境）费用</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公务接待费</w:t>
            </w:r>
          </w:p>
        </w:tc>
        <w:tc>
          <w:tcPr>
            <w:tcW w:w="0" w:type="auto"/>
            <w:gridSpan w:val="3"/>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公务用车购置及运行维护费</w:t>
            </w: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小计</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因公出国（境）费用</w:t>
            </w:r>
          </w:p>
        </w:tc>
        <w:tc>
          <w:tcPr>
            <w:tcW w:w="0" w:type="auto"/>
            <w:vMerge w:val="restart"/>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公务接待费</w:t>
            </w:r>
          </w:p>
        </w:tc>
        <w:tc>
          <w:tcPr>
            <w:tcW w:w="0" w:type="auto"/>
            <w:gridSpan w:val="3"/>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公务用车购置及运行维护费</w:t>
            </w: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706" w:type="dxa"/>
            <w:vMerge/>
            <w:vAlign w:val="center"/>
            <w:hideMark/>
          </w:tcPr>
          <w:p w:rsidR="00AE5EE9" w:rsidRPr="00AE5EE9" w:rsidRDefault="00AE5EE9" w:rsidP="00AE5EE9">
            <w:pPr>
              <w:widowControl/>
              <w:jc w:val="left"/>
              <w:rPr>
                <w:rFonts w:ascii="宋体" w:hAnsi="宋体" w:cs="宋体"/>
                <w:kern w:val="0"/>
                <w:sz w:val="18"/>
                <w:szCs w:val="18"/>
              </w:rPr>
            </w:pPr>
          </w:p>
        </w:tc>
      </w:tr>
      <w:tr w:rsidR="00AE5EE9" w:rsidRPr="00AE5EE9" w:rsidTr="00254B2B">
        <w:trPr>
          <w:trHeight w:val="720"/>
        </w:trPr>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小计</w:t>
            </w: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公务用车购置费</w:t>
            </w: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公务用车运行维护费</w:t>
            </w: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小计</w:t>
            </w: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公务用车购置费</w:t>
            </w: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公务用车运行维护费</w:t>
            </w: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小计</w:t>
            </w: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公务用车购置费</w:t>
            </w:r>
          </w:p>
        </w:tc>
        <w:tc>
          <w:tcPr>
            <w:tcW w:w="0" w:type="auto"/>
            <w:shd w:val="clear" w:color="auto" w:fill="auto"/>
            <w:vAlign w:val="center"/>
            <w:hideMark/>
          </w:tcPr>
          <w:p w:rsidR="00AE5EE9" w:rsidRPr="00AE5EE9" w:rsidRDefault="00AE5EE9" w:rsidP="00AE5EE9">
            <w:pPr>
              <w:widowControl/>
              <w:jc w:val="center"/>
              <w:rPr>
                <w:rFonts w:ascii="宋体" w:hAnsi="宋体" w:cs="宋体"/>
                <w:kern w:val="0"/>
                <w:sz w:val="18"/>
                <w:szCs w:val="18"/>
              </w:rPr>
            </w:pPr>
            <w:r w:rsidRPr="00AE5EE9">
              <w:rPr>
                <w:rFonts w:ascii="宋体" w:hAnsi="宋体" w:cs="宋体" w:hint="eastAsia"/>
                <w:kern w:val="0"/>
                <w:sz w:val="18"/>
                <w:szCs w:val="18"/>
              </w:rPr>
              <w:t>公务用车运行维护费</w:t>
            </w:r>
          </w:p>
        </w:tc>
        <w:tc>
          <w:tcPr>
            <w:tcW w:w="0" w:type="auto"/>
            <w:vMerge/>
            <w:vAlign w:val="center"/>
            <w:hideMark/>
          </w:tcPr>
          <w:p w:rsidR="00AE5EE9" w:rsidRPr="00AE5EE9" w:rsidRDefault="00AE5EE9" w:rsidP="00AE5EE9">
            <w:pPr>
              <w:widowControl/>
              <w:jc w:val="left"/>
              <w:rPr>
                <w:rFonts w:ascii="宋体" w:hAnsi="宋体" w:cs="宋体"/>
                <w:kern w:val="0"/>
                <w:sz w:val="18"/>
                <w:szCs w:val="18"/>
              </w:rPr>
            </w:pPr>
          </w:p>
        </w:tc>
        <w:tc>
          <w:tcPr>
            <w:tcW w:w="706" w:type="dxa"/>
            <w:vMerge/>
            <w:vAlign w:val="center"/>
            <w:hideMark/>
          </w:tcPr>
          <w:p w:rsidR="00AE5EE9" w:rsidRPr="00AE5EE9" w:rsidRDefault="00AE5EE9" w:rsidP="00AE5EE9">
            <w:pPr>
              <w:widowControl/>
              <w:jc w:val="left"/>
              <w:rPr>
                <w:rFonts w:ascii="宋体" w:hAnsi="宋体" w:cs="宋体"/>
                <w:kern w:val="0"/>
                <w:sz w:val="18"/>
                <w:szCs w:val="18"/>
              </w:rPr>
            </w:pPr>
          </w:p>
        </w:tc>
      </w:tr>
      <w:tr w:rsidR="00AE5EE9" w:rsidRPr="00AE5EE9" w:rsidTr="00254B2B">
        <w:trPr>
          <w:trHeight w:val="255"/>
        </w:trPr>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2.3</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0.8</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1.5</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1.5</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0.5</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1.8</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1.53</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0.28</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center"/>
            <w:hideMark/>
          </w:tcPr>
          <w:p w:rsidR="00AE5EE9" w:rsidRPr="00AE5EE9" w:rsidRDefault="00AE5EE9" w:rsidP="00AE5EE9">
            <w:pPr>
              <w:widowControl/>
              <w:jc w:val="right"/>
              <w:rPr>
                <w:rFonts w:ascii="宋体" w:hAnsi="宋体" w:cs="宋体"/>
                <w:color w:val="000000"/>
                <w:kern w:val="0"/>
                <w:sz w:val="22"/>
                <w:szCs w:val="22"/>
              </w:rPr>
            </w:pPr>
            <w:r w:rsidRPr="00AE5EE9">
              <w:rPr>
                <w:rFonts w:ascii="宋体" w:hAnsi="宋体" w:cs="宋体" w:hint="eastAsia"/>
                <w:color w:val="000000"/>
                <w:kern w:val="0"/>
                <w:sz w:val="22"/>
                <w:szCs w:val="22"/>
              </w:rPr>
              <w:t>1.25</w:t>
            </w:r>
          </w:p>
        </w:tc>
        <w:tc>
          <w:tcPr>
            <w:tcW w:w="0" w:type="auto"/>
            <w:shd w:val="clear" w:color="auto" w:fill="auto"/>
            <w:noWrap/>
            <w:vAlign w:val="center"/>
            <w:hideMark/>
          </w:tcPr>
          <w:p w:rsidR="00AE5EE9" w:rsidRPr="00AE5EE9" w:rsidRDefault="00AE5EE9" w:rsidP="00AE5EE9">
            <w:pPr>
              <w:widowControl/>
              <w:jc w:val="right"/>
              <w:rPr>
                <w:rFonts w:ascii="宋体" w:hAnsi="宋体" w:cs="宋体"/>
                <w:color w:val="000000"/>
                <w:kern w:val="0"/>
                <w:sz w:val="22"/>
                <w:szCs w:val="22"/>
              </w:rPr>
            </w:pPr>
            <w:r w:rsidRPr="00AE5EE9">
              <w:rPr>
                <w:rFonts w:ascii="宋体" w:hAnsi="宋体" w:cs="宋体" w:hint="eastAsia"/>
                <w:color w:val="000000"/>
                <w:kern w:val="0"/>
                <w:sz w:val="22"/>
                <w:szCs w:val="22"/>
              </w:rPr>
              <w:t>40.50</w:t>
            </w:r>
          </w:p>
        </w:tc>
        <w:tc>
          <w:tcPr>
            <w:tcW w:w="0" w:type="auto"/>
            <w:shd w:val="clear" w:color="auto" w:fill="auto"/>
            <w:noWrap/>
            <w:vAlign w:val="center"/>
            <w:hideMark/>
          </w:tcPr>
          <w:p w:rsidR="00AE5EE9" w:rsidRPr="00AE5EE9" w:rsidRDefault="00AE5EE9" w:rsidP="00AE5EE9">
            <w:pPr>
              <w:widowControl/>
              <w:jc w:val="right"/>
              <w:rPr>
                <w:rFonts w:ascii="宋体" w:hAnsi="宋体" w:cs="宋体"/>
                <w:color w:val="000000"/>
                <w:kern w:val="0"/>
                <w:sz w:val="22"/>
                <w:szCs w:val="22"/>
              </w:rPr>
            </w:pPr>
            <w:r w:rsidRPr="00AE5EE9">
              <w:rPr>
                <w:rFonts w:ascii="宋体" w:hAnsi="宋体" w:cs="宋体" w:hint="eastAsia"/>
                <w:color w:val="000000"/>
                <w:kern w:val="0"/>
                <w:sz w:val="22"/>
                <w:szCs w:val="22"/>
              </w:rPr>
              <w:t>15.10</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52.53</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-0.52</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-0.25</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40</w:t>
            </w:r>
          </w:p>
        </w:tc>
        <w:tc>
          <w:tcPr>
            <w:tcW w:w="706" w:type="dxa"/>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13.3</w:t>
            </w:r>
          </w:p>
        </w:tc>
      </w:tr>
      <w:tr w:rsidR="00AE5EE9" w:rsidRPr="00AE5EE9" w:rsidTr="00254B2B">
        <w:trPr>
          <w:trHeight w:val="255"/>
        </w:trPr>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706" w:type="dxa"/>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r>
      <w:tr w:rsidR="00AE5EE9" w:rsidRPr="00AE5EE9" w:rsidTr="00254B2B">
        <w:trPr>
          <w:trHeight w:val="255"/>
        </w:trPr>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0" w:type="auto"/>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c>
          <w:tcPr>
            <w:tcW w:w="706" w:type="dxa"/>
            <w:shd w:val="clear" w:color="auto" w:fill="auto"/>
            <w:noWrap/>
            <w:vAlign w:val="bottom"/>
            <w:hideMark/>
          </w:tcPr>
          <w:p w:rsidR="00AE5EE9" w:rsidRPr="00AE5EE9" w:rsidRDefault="00AE5EE9" w:rsidP="00AE5EE9">
            <w:pPr>
              <w:widowControl/>
              <w:jc w:val="left"/>
              <w:rPr>
                <w:rFonts w:ascii="宋体" w:hAnsi="宋体" w:cs="宋体"/>
                <w:kern w:val="0"/>
                <w:sz w:val="18"/>
                <w:szCs w:val="18"/>
              </w:rPr>
            </w:pPr>
            <w:r w:rsidRPr="00AE5EE9">
              <w:rPr>
                <w:rFonts w:ascii="宋体" w:hAnsi="宋体" w:cs="宋体" w:hint="eastAsia"/>
                <w:kern w:val="0"/>
                <w:sz w:val="18"/>
                <w:szCs w:val="18"/>
              </w:rPr>
              <w:t xml:space="preserve">　</w:t>
            </w:r>
          </w:p>
        </w:tc>
      </w:tr>
    </w:tbl>
    <w:p w:rsidR="00254B2B" w:rsidRDefault="00254B2B" w:rsidP="00341410">
      <w:pPr>
        <w:snapToGrid w:val="0"/>
        <w:spacing w:line="520" w:lineRule="exact"/>
        <w:ind w:firstLineChars="200" w:firstLine="640"/>
        <w:rPr>
          <w:rFonts w:ascii="仿宋_GB2312" w:eastAsia="仿宋_GB2312" w:hAnsi="仿宋"/>
          <w:sz w:val="32"/>
          <w:szCs w:val="32"/>
        </w:rPr>
        <w:sectPr w:rsidR="00254B2B" w:rsidSect="00254B2B">
          <w:pgSz w:w="16838" w:h="11906" w:orient="landscape"/>
          <w:pgMar w:top="1797" w:right="1440" w:bottom="1797" w:left="1440" w:header="851" w:footer="992" w:gutter="0"/>
          <w:cols w:space="425"/>
          <w:docGrid w:type="linesAndChars" w:linePitch="312"/>
        </w:sectPr>
      </w:pPr>
    </w:p>
    <w:p w:rsidR="00245E2D" w:rsidRDefault="00245E2D" w:rsidP="00245E2D">
      <w:pPr>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六、2018年度部门绩效管理情况说明</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420"/>
        <w:gridCol w:w="2795"/>
      </w:tblGrid>
      <w:tr w:rsidR="00341410" w:rsidTr="003A1FDE">
        <w:trPr>
          <w:trHeight w:val="465"/>
        </w:trPr>
        <w:tc>
          <w:tcPr>
            <w:tcW w:w="1440" w:type="dxa"/>
          </w:tcPr>
          <w:p w:rsidR="00341410" w:rsidRDefault="00341410" w:rsidP="002A1388">
            <w:pPr>
              <w:jc w:val="center"/>
              <w:rPr>
                <w:sz w:val="28"/>
                <w:szCs w:val="28"/>
              </w:rPr>
            </w:pPr>
            <w:r>
              <w:rPr>
                <w:rFonts w:hint="eastAsia"/>
                <w:sz w:val="28"/>
                <w:szCs w:val="28"/>
              </w:rPr>
              <w:t>项目编号</w:t>
            </w:r>
          </w:p>
        </w:tc>
        <w:tc>
          <w:tcPr>
            <w:tcW w:w="3420" w:type="dxa"/>
          </w:tcPr>
          <w:p w:rsidR="00341410" w:rsidRDefault="00341410" w:rsidP="002A1388">
            <w:pPr>
              <w:jc w:val="center"/>
              <w:rPr>
                <w:sz w:val="28"/>
                <w:szCs w:val="28"/>
              </w:rPr>
            </w:pPr>
            <w:r>
              <w:rPr>
                <w:rFonts w:hint="eastAsia"/>
                <w:sz w:val="28"/>
                <w:szCs w:val="28"/>
              </w:rPr>
              <w:t>项目名称</w:t>
            </w:r>
          </w:p>
        </w:tc>
        <w:tc>
          <w:tcPr>
            <w:tcW w:w="2795" w:type="dxa"/>
          </w:tcPr>
          <w:p w:rsidR="00341410" w:rsidRDefault="00341410" w:rsidP="002A1388">
            <w:pPr>
              <w:jc w:val="center"/>
              <w:rPr>
                <w:sz w:val="28"/>
                <w:szCs w:val="28"/>
              </w:rPr>
            </w:pPr>
            <w:r>
              <w:rPr>
                <w:rFonts w:hint="eastAsia"/>
                <w:sz w:val="28"/>
                <w:szCs w:val="28"/>
              </w:rPr>
              <w:t>项目支出金额</w:t>
            </w:r>
          </w:p>
        </w:tc>
      </w:tr>
      <w:tr w:rsidR="00341410" w:rsidTr="003A1FDE">
        <w:trPr>
          <w:trHeight w:val="435"/>
        </w:trPr>
        <w:tc>
          <w:tcPr>
            <w:tcW w:w="1440" w:type="dxa"/>
          </w:tcPr>
          <w:p w:rsidR="00341410" w:rsidRDefault="00341410" w:rsidP="002A1388">
            <w:pPr>
              <w:jc w:val="center"/>
              <w:rPr>
                <w:sz w:val="28"/>
                <w:szCs w:val="28"/>
              </w:rPr>
            </w:pPr>
            <w:r>
              <w:rPr>
                <w:rFonts w:hint="eastAsia"/>
                <w:sz w:val="28"/>
                <w:szCs w:val="28"/>
              </w:rPr>
              <w:t>001</w:t>
            </w:r>
          </w:p>
        </w:tc>
        <w:tc>
          <w:tcPr>
            <w:tcW w:w="3420" w:type="dxa"/>
          </w:tcPr>
          <w:p w:rsidR="00341410" w:rsidRDefault="00341410" w:rsidP="002A1388">
            <w:pPr>
              <w:jc w:val="center"/>
              <w:rPr>
                <w:sz w:val="28"/>
                <w:szCs w:val="28"/>
              </w:rPr>
            </w:pPr>
            <w:r>
              <w:rPr>
                <w:rFonts w:hint="eastAsia"/>
                <w:sz w:val="28"/>
                <w:szCs w:val="28"/>
              </w:rPr>
              <w:t>机关工资福利支出</w:t>
            </w:r>
          </w:p>
        </w:tc>
        <w:tc>
          <w:tcPr>
            <w:tcW w:w="2795" w:type="dxa"/>
          </w:tcPr>
          <w:p w:rsidR="00341410" w:rsidRDefault="00341410" w:rsidP="002A1388">
            <w:pPr>
              <w:jc w:val="center"/>
              <w:rPr>
                <w:sz w:val="28"/>
                <w:szCs w:val="28"/>
              </w:rPr>
            </w:pPr>
            <w:r>
              <w:rPr>
                <w:rFonts w:hint="eastAsia"/>
                <w:sz w:val="28"/>
                <w:szCs w:val="28"/>
              </w:rPr>
              <w:t>2389768</w:t>
            </w:r>
          </w:p>
        </w:tc>
      </w:tr>
      <w:tr w:rsidR="00341410" w:rsidTr="003A1FDE">
        <w:trPr>
          <w:trHeight w:val="454"/>
        </w:trPr>
        <w:tc>
          <w:tcPr>
            <w:tcW w:w="1440" w:type="dxa"/>
          </w:tcPr>
          <w:p w:rsidR="00341410" w:rsidRDefault="00341410" w:rsidP="002A1388">
            <w:pPr>
              <w:jc w:val="center"/>
              <w:rPr>
                <w:sz w:val="28"/>
                <w:szCs w:val="28"/>
              </w:rPr>
            </w:pPr>
            <w:r>
              <w:rPr>
                <w:rFonts w:hint="eastAsia"/>
                <w:sz w:val="28"/>
                <w:szCs w:val="28"/>
              </w:rPr>
              <w:t>002</w:t>
            </w:r>
          </w:p>
        </w:tc>
        <w:tc>
          <w:tcPr>
            <w:tcW w:w="3420" w:type="dxa"/>
          </w:tcPr>
          <w:p w:rsidR="00341410" w:rsidRDefault="00341410" w:rsidP="002A1388">
            <w:pPr>
              <w:jc w:val="center"/>
              <w:rPr>
                <w:sz w:val="28"/>
                <w:szCs w:val="28"/>
              </w:rPr>
            </w:pPr>
            <w:r>
              <w:rPr>
                <w:rFonts w:hint="eastAsia"/>
                <w:sz w:val="28"/>
                <w:szCs w:val="28"/>
              </w:rPr>
              <w:t>机关商品和服务支出</w:t>
            </w:r>
          </w:p>
        </w:tc>
        <w:tc>
          <w:tcPr>
            <w:tcW w:w="2795" w:type="dxa"/>
          </w:tcPr>
          <w:p w:rsidR="00341410" w:rsidRDefault="00341410" w:rsidP="002A1388">
            <w:pPr>
              <w:jc w:val="center"/>
              <w:rPr>
                <w:sz w:val="28"/>
                <w:szCs w:val="28"/>
              </w:rPr>
            </w:pPr>
            <w:r>
              <w:rPr>
                <w:rFonts w:hint="eastAsia"/>
                <w:sz w:val="28"/>
                <w:szCs w:val="28"/>
              </w:rPr>
              <w:t>1873252.4</w:t>
            </w:r>
          </w:p>
        </w:tc>
      </w:tr>
      <w:tr w:rsidR="00341410" w:rsidTr="003A1FDE">
        <w:trPr>
          <w:trHeight w:val="454"/>
        </w:trPr>
        <w:tc>
          <w:tcPr>
            <w:tcW w:w="1440" w:type="dxa"/>
          </w:tcPr>
          <w:p w:rsidR="00341410" w:rsidRDefault="00341410" w:rsidP="002A1388">
            <w:pPr>
              <w:jc w:val="center"/>
              <w:rPr>
                <w:sz w:val="28"/>
                <w:szCs w:val="28"/>
              </w:rPr>
            </w:pPr>
            <w:r>
              <w:rPr>
                <w:rFonts w:hint="eastAsia"/>
                <w:sz w:val="28"/>
                <w:szCs w:val="28"/>
              </w:rPr>
              <w:t>003</w:t>
            </w:r>
          </w:p>
        </w:tc>
        <w:tc>
          <w:tcPr>
            <w:tcW w:w="3420" w:type="dxa"/>
          </w:tcPr>
          <w:p w:rsidR="00341410" w:rsidRDefault="00341410" w:rsidP="002A1388">
            <w:pPr>
              <w:jc w:val="center"/>
              <w:rPr>
                <w:sz w:val="28"/>
                <w:szCs w:val="28"/>
              </w:rPr>
            </w:pPr>
            <w:r>
              <w:rPr>
                <w:rFonts w:hint="eastAsia"/>
                <w:sz w:val="28"/>
                <w:szCs w:val="28"/>
              </w:rPr>
              <w:t>机关资本性支出</w:t>
            </w:r>
          </w:p>
        </w:tc>
        <w:tc>
          <w:tcPr>
            <w:tcW w:w="2795" w:type="dxa"/>
          </w:tcPr>
          <w:p w:rsidR="00341410" w:rsidRPr="006754D8" w:rsidRDefault="00341410" w:rsidP="002A1388">
            <w:pPr>
              <w:jc w:val="center"/>
              <w:rPr>
                <w:rFonts w:ascii="宋体" w:hAnsi="宋体" w:cs="宋体"/>
                <w:color w:val="000000"/>
                <w:sz w:val="22"/>
                <w:szCs w:val="22"/>
              </w:rPr>
            </w:pPr>
            <w:r w:rsidRPr="00EE1ECA">
              <w:rPr>
                <w:rFonts w:hint="eastAsia"/>
                <w:sz w:val="28"/>
                <w:szCs w:val="28"/>
              </w:rPr>
              <w:t>28600</w:t>
            </w:r>
          </w:p>
        </w:tc>
      </w:tr>
      <w:tr w:rsidR="00341410" w:rsidTr="003A1FDE">
        <w:trPr>
          <w:trHeight w:val="454"/>
        </w:trPr>
        <w:tc>
          <w:tcPr>
            <w:tcW w:w="1440" w:type="dxa"/>
          </w:tcPr>
          <w:p w:rsidR="00341410" w:rsidRDefault="00341410" w:rsidP="002A1388">
            <w:pPr>
              <w:jc w:val="center"/>
              <w:rPr>
                <w:sz w:val="28"/>
                <w:szCs w:val="28"/>
              </w:rPr>
            </w:pPr>
            <w:r>
              <w:rPr>
                <w:rFonts w:hint="eastAsia"/>
                <w:sz w:val="28"/>
                <w:szCs w:val="28"/>
              </w:rPr>
              <w:t>004</w:t>
            </w:r>
          </w:p>
        </w:tc>
        <w:tc>
          <w:tcPr>
            <w:tcW w:w="3420" w:type="dxa"/>
          </w:tcPr>
          <w:p w:rsidR="00341410" w:rsidRDefault="00341410" w:rsidP="002A1388">
            <w:pPr>
              <w:jc w:val="center"/>
              <w:rPr>
                <w:sz w:val="28"/>
                <w:szCs w:val="28"/>
              </w:rPr>
            </w:pPr>
            <w:r>
              <w:rPr>
                <w:rFonts w:hint="eastAsia"/>
                <w:sz w:val="28"/>
                <w:szCs w:val="28"/>
              </w:rPr>
              <w:t>社会保障就业性支出</w:t>
            </w:r>
          </w:p>
        </w:tc>
        <w:tc>
          <w:tcPr>
            <w:tcW w:w="2795" w:type="dxa"/>
          </w:tcPr>
          <w:p w:rsidR="00341410" w:rsidRDefault="00341410" w:rsidP="002A1388">
            <w:pPr>
              <w:jc w:val="center"/>
              <w:rPr>
                <w:sz w:val="28"/>
                <w:szCs w:val="28"/>
              </w:rPr>
            </w:pPr>
            <w:r>
              <w:rPr>
                <w:rFonts w:hint="eastAsia"/>
                <w:sz w:val="28"/>
                <w:szCs w:val="28"/>
              </w:rPr>
              <w:t>321499.83</w:t>
            </w:r>
          </w:p>
        </w:tc>
      </w:tr>
      <w:tr w:rsidR="00341410" w:rsidTr="003A1FDE">
        <w:trPr>
          <w:trHeight w:val="454"/>
        </w:trPr>
        <w:tc>
          <w:tcPr>
            <w:tcW w:w="1440" w:type="dxa"/>
          </w:tcPr>
          <w:p w:rsidR="00341410" w:rsidRDefault="00341410" w:rsidP="002A1388">
            <w:pPr>
              <w:jc w:val="center"/>
              <w:rPr>
                <w:sz w:val="28"/>
                <w:szCs w:val="28"/>
              </w:rPr>
            </w:pPr>
            <w:r>
              <w:rPr>
                <w:rFonts w:hint="eastAsia"/>
                <w:sz w:val="28"/>
                <w:szCs w:val="28"/>
              </w:rPr>
              <w:t>005</w:t>
            </w:r>
          </w:p>
        </w:tc>
        <w:tc>
          <w:tcPr>
            <w:tcW w:w="3420" w:type="dxa"/>
          </w:tcPr>
          <w:p w:rsidR="00341410" w:rsidRDefault="00341410" w:rsidP="002A1388">
            <w:pPr>
              <w:jc w:val="center"/>
              <w:rPr>
                <w:sz w:val="28"/>
                <w:szCs w:val="28"/>
              </w:rPr>
            </w:pPr>
            <w:r>
              <w:rPr>
                <w:rFonts w:hint="eastAsia"/>
                <w:sz w:val="28"/>
                <w:szCs w:val="28"/>
              </w:rPr>
              <w:t>商业服务业支出</w:t>
            </w:r>
          </w:p>
        </w:tc>
        <w:tc>
          <w:tcPr>
            <w:tcW w:w="2795" w:type="dxa"/>
          </w:tcPr>
          <w:p w:rsidR="00341410" w:rsidRDefault="00341410" w:rsidP="002A1388">
            <w:pPr>
              <w:jc w:val="center"/>
              <w:rPr>
                <w:sz w:val="28"/>
                <w:szCs w:val="28"/>
              </w:rPr>
            </w:pPr>
            <w:r>
              <w:rPr>
                <w:rFonts w:hint="eastAsia"/>
                <w:sz w:val="28"/>
                <w:szCs w:val="28"/>
              </w:rPr>
              <w:t>3200</w:t>
            </w:r>
          </w:p>
        </w:tc>
      </w:tr>
      <w:tr w:rsidR="00341410" w:rsidTr="003A1FDE">
        <w:trPr>
          <w:trHeight w:val="454"/>
        </w:trPr>
        <w:tc>
          <w:tcPr>
            <w:tcW w:w="1440" w:type="dxa"/>
          </w:tcPr>
          <w:p w:rsidR="00341410" w:rsidRDefault="00341410" w:rsidP="002A1388">
            <w:pPr>
              <w:jc w:val="center"/>
              <w:rPr>
                <w:sz w:val="28"/>
                <w:szCs w:val="28"/>
              </w:rPr>
            </w:pPr>
            <w:r>
              <w:rPr>
                <w:rFonts w:hint="eastAsia"/>
                <w:sz w:val="28"/>
                <w:szCs w:val="28"/>
              </w:rPr>
              <w:t>合计</w:t>
            </w:r>
          </w:p>
        </w:tc>
        <w:tc>
          <w:tcPr>
            <w:tcW w:w="3420" w:type="dxa"/>
          </w:tcPr>
          <w:p w:rsidR="00341410" w:rsidRDefault="00341410" w:rsidP="002A1388">
            <w:pPr>
              <w:jc w:val="center"/>
              <w:rPr>
                <w:sz w:val="28"/>
                <w:szCs w:val="28"/>
              </w:rPr>
            </w:pPr>
          </w:p>
        </w:tc>
        <w:tc>
          <w:tcPr>
            <w:tcW w:w="2795" w:type="dxa"/>
          </w:tcPr>
          <w:p w:rsidR="00341410" w:rsidRDefault="00341410" w:rsidP="002A1388">
            <w:pPr>
              <w:jc w:val="center"/>
              <w:rPr>
                <w:sz w:val="28"/>
                <w:szCs w:val="28"/>
              </w:rPr>
            </w:pPr>
            <w:r>
              <w:rPr>
                <w:rFonts w:hint="eastAsia"/>
                <w:sz w:val="28"/>
                <w:szCs w:val="28"/>
              </w:rPr>
              <w:t>4616320.23</w:t>
            </w:r>
          </w:p>
        </w:tc>
      </w:tr>
    </w:tbl>
    <w:p w:rsidR="00341410" w:rsidRDefault="00341410" w:rsidP="00341410">
      <w:pPr>
        <w:ind w:firstLine="435"/>
        <w:rPr>
          <w:sz w:val="28"/>
          <w:szCs w:val="28"/>
        </w:rPr>
      </w:pPr>
      <w:r>
        <w:rPr>
          <w:rFonts w:hint="eastAsia"/>
          <w:sz w:val="28"/>
          <w:szCs w:val="28"/>
        </w:rPr>
        <w:t>项目资金主要用于政法</w:t>
      </w:r>
      <w:proofErr w:type="gramStart"/>
      <w:r>
        <w:rPr>
          <w:rFonts w:hint="eastAsia"/>
          <w:sz w:val="28"/>
          <w:szCs w:val="28"/>
        </w:rPr>
        <w:t>委队伍</w:t>
      </w:r>
      <w:proofErr w:type="gramEnd"/>
      <w:r>
        <w:rPr>
          <w:rFonts w:hint="eastAsia"/>
          <w:sz w:val="28"/>
          <w:szCs w:val="28"/>
        </w:rPr>
        <w:t>建设，表彰先进，设备购置，大型会议召开，平安鼎建设，司法救助，扫黑除恶专项斗争等支出，政法委自行组织实施，在实施过程中严格按照有关制度执行。</w:t>
      </w:r>
    </w:p>
    <w:p w:rsidR="00245E2D" w:rsidRDefault="00245E2D" w:rsidP="00245E2D">
      <w:pPr>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t>七、其他重要事项的情况说明</w:t>
      </w:r>
    </w:p>
    <w:p w:rsidR="00341410" w:rsidRPr="000F2564" w:rsidRDefault="00341410" w:rsidP="00341410">
      <w:pPr>
        <w:spacing w:line="550" w:lineRule="exact"/>
        <w:ind w:firstLineChars="200" w:firstLine="640"/>
        <w:rPr>
          <w:rFonts w:ascii="仿宋_GB2312" w:eastAsia="仿宋_GB2312" w:hAnsi="仿宋"/>
          <w:sz w:val="32"/>
          <w:szCs w:val="32"/>
        </w:rPr>
      </w:pPr>
      <w:r w:rsidRPr="000F2564">
        <w:rPr>
          <w:rFonts w:ascii="仿宋_GB2312" w:eastAsia="仿宋_GB2312" w:hAnsi="仿宋" w:hint="eastAsia"/>
          <w:sz w:val="32"/>
          <w:szCs w:val="32"/>
        </w:rPr>
        <w:t>201</w:t>
      </w:r>
      <w:r>
        <w:rPr>
          <w:rFonts w:ascii="仿宋_GB2312" w:eastAsia="仿宋_GB2312" w:hAnsi="仿宋" w:hint="eastAsia"/>
          <w:sz w:val="32"/>
          <w:szCs w:val="32"/>
        </w:rPr>
        <w:t>8</w:t>
      </w:r>
      <w:r w:rsidRPr="000F2564">
        <w:rPr>
          <w:rFonts w:ascii="仿宋_GB2312" w:eastAsia="仿宋_GB2312" w:hAnsi="仿宋" w:hint="eastAsia"/>
          <w:sz w:val="32"/>
          <w:szCs w:val="32"/>
        </w:rPr>
        <w:t>年机关运行经费共支出</w:t>
      </w:r>
      <w:r>
        <w:rPr>
          <w:rFonts w:ascii="仿宋_GB2312" w:eastAsia="仿宋_GB2312" w:hint="eastAsia"/>
          <w:sz w:val="32"/>
          <w:szCs w:val="32"/>
        </w:rPr>
        <w:t>293.32</w:t>
      </w:r>
      <w:r w:rsidRPr="000F2564">
        <w:rPr>
          <w:rFonts w:ascii="仿宋_GB2312" w:eastAsia="仿宋_GB2312" w:hAnsi="仿宋" w:hint="eastAsia"/>
          <w:sz w:val="32"/>
          <w:szCs w:val="32"/>
        </w:rPr>
        <w:t>万元，包括单位人员工资及办公经费。</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文字说明，并对增减变化情况及原因予以说明。</w:t>
      </w:r>
    </w:p>
    <w:p w:rsidR="00245E2D" w:rsidRDefault="00245E2D" w:rsidP="00245E2D">
      <w:pPr>
        <w:spacing w:line="550" w:lineRule="exact"/>
        <w:ind w:firstLineChars="200" w:firstLine="640"/>
        <w:rPr>
          <w:rFonts w:ascii="楷体" w:eastAsia="楷体" w:hAnsi="楷体" w:cs="楷体"/>
          <w:sz w:val="32"/>
          <w:szCs w:val="32"/>
        </w:rPr>
      </w:pPr>
      <w:r>
        <w:rPr>
          <w:rFonts w:ascii="楷体" w:eastAsia="楷体" w:hAnsi="楷体" w:cs="楷体" w:hint="eastAsia"/>
          <w:sz w:val="32"/>
          <w:szCs w:val="32"/>
        </w:rPr>
        <w:t>（二）国有资产占用及购置情况说明</w:t>
      </w:r>
    </w:p>
    <w:p w:rsidR="00023F39" w:rsidRPr="00791DC2" w:rsidRDefault="00023F39" w:rsidP="00023F39">
      <w:pPr>
        <w:spacing w:line="550" w:lineRule="exact"/>
        <w:ind w:firstLineChars="200" w:firstLine="640"/>
        <w:rPr>
          <w:rFonts w:ascii="仿宋_GB2312" w:eastAsia="仿宋_GB2312" w:hAnsi="仿宋"/>
          <w:sz w:val="32"/>
          <w:szCs w:val="32"/>
        </w:rPr>
      </w:pPr>
      <w:r w:rsidRPr="00791DC2">
        <w:rPr>
          <w:rFonts w:ascii="仿宋_GB2312" w:eastAsia="仿宋_GB2312" w:hAnsi="仿宋" w:hint="eastAsia"/>
          <w:sz w:val="32"/>
          <w:szCs w:val="32"/>
        </w:rPr>
        <w:t>截至201</w:t>
      </w:r>
      <w:r w:rsidR="00BE53D0">
        <w:rPr>
          <w:rFonts w:ascii="仿宋_GB2312" w:eastAsia="仿宋_GB2312" w:hAnsi="仿宋" w:hint="eastAsia"/>
          <w:sz w:val="32"/>
          <w:szCs w:val="32"/>
        </w:rPr>
        <w:t>8</w:t>
      </w:r>
      <w:r w:rsidRPr="00791DC2">
        <w:rPr>
          <w:rFonts w:ascii="仿宋_GB2312" w:eastAsia="仿宋_GB2312" w:hAnsi="仿宋" w:hint="eastAsia"/>
          <w:sz w:val="32"/>
          <w:szCs w:val="32"/>
        </w:rPr>
        <w:t>年末，本部门所属单位共有车辆3辆；单价50万元以上的通用设备0台（套）；单价100万元以上的通用设备0台（套）。2017年当年购置车辆0辆；购置单价50万元以上的设备0台（套）；购置单价100万元以上的通用设备0台（套）。</w:t>
      </w:r>
    </w:p>
    <w:p w:rsidR="00245E2D" w:rsidRDefault="00245E2D" w:rsidP="00245E2D">
      <w:pPr>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t>八、专业名词解释</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文字说明。专业名词解释可由部门根据业务内容等自行</w:t>
      </w:r>
      <w:r>
        <w:rPr>
          <w:rFonts w:ascii="仿宋" w:eastAsia="仿宋" w:hAnsi="仿宋" w:hint="eastAsia"/>
          <w:sz w:val="32"/>
          <w:szCs w:val="32"/>
        </w:rPr>
        <w:lastRenderedPageBreak/>
        <w:t>选择。</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示例：</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1．基本支出：指为保障机构正常运转、完成日常工作任务而发生的各项支出。</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2．项目支出：指单位为完成特定的行政工作任务或事业发展目标所发生的各项支出。</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3．“三公”经费：指部门使用一般公共预算财政拨款安排的因公出国（境）费、公务用车购置及运行费和公务接待费支出。</w:t>
      </w:r>
    </w:p>
    <w:p w:rsidR="00245E2D" w:rsidRDefault="00245E2D" w:rsidP="00245E2D">
      <w:pPr>
        <w:spacing w:line="550" w:lineRule="exact"/>
        <w:ind w:firstLineChars="200" w:firstLine="640"/>
        <w:rPr>
          <w:rFonts w:ascii="仿宋" w:eastAsia="仿宋" w:hAnsi="仿宋"/>
          <w:sz w:val="32"/>
          <w:szCs w:val="32"/>
        </w:rPr>
      </w:pPr>
      <w:r>
        <w:rPr>
          <w:rFonts w:ascii="仿宋" w:eastAsia="仿宋" w:hAnsi="仿宋" w:hint="eastAsia"/>
          <w:sz w:val="32"/>
          <w:szCs w:val="32"/>
        </w:rPr>
        <w:t>4．机关运行经费：指行政单位和参照公务员法管理的事业单位使用一般公共预算财政拨款安排的日常公用经费支出。</w:t>
      </w:r>
    </w:p>
    <w:p w:rsidR="009865FE" w:rsidRDefault="009865FE"/>
    <w:sectPr w:rsidR="009865FE" w:rsidSect="00E14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7D" w:rsidRDefault="000D3E7D" w:rsidP="00245E2D">
      <w:r>
        <w:separator/>
      </w:r>
    </w:p>
  </w:endnote>
  <w:endnote w:type="continuationSeparator" w:id="0">
    <w:p w:rsidR="000D3E7D" w:rsidRDefault="000D3E7D" w:rsidP="0024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黑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99" w:rsidRDefault="002670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99" w:rsidRDefault="0026709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99" w:rsidRDefault="002670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7D" w:rsidRDefault="000D3E7D" w:rsidP="00245E2D">
      <w:r>
        <w:separator/>
      </w:r>
    </w:p>
  </w:footnote>
  <w:footnote w:type="continuationSeparator" w:id="0">
    <w:p w:rsidR="000D3E7D" w:rsidRDefault="000D3E7D" w:rsidP="0024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99" w:rsidRDefault="002670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2D" w:rsidRDefault="00245E2D" w:rsidP="0026709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99" w:rsidRDefault="002670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5E2D"/>
    <w:rsid w:val="00023F39"/>
    <w:rsid w:val="000D3E7D"/>
    <w:rsid w:val="00110285"/>
    <w:rsid w:val="00245E2D"/>
    <w:rsid w:val="00254B2B"/>
    <w:rsid w:val="00267099"/>
    <w:rsid w:val="00341410"/>
    <w:rsid w:val="003A1FDE"/>
    <w:rsid w:val="004940EC"/>
    <w:rsid w:val="004F7165"/>
    <w:rsid w:val="0060634E"/>
    <w:rsid w:val="00612FEA"/>
    <w:rsid w:val="00645A33"/>
    <w:rsid w:val="009865FE"/>
    <w:rsid w:val="00AE5EE9"/>
    <w:rsid w:val="00B66FB5"/>
    <w:rsid w:val="00BE53D0"/>
    <w:rsid w:val="00E14190"/>
    <w:rsid w:val="00EA39EF"/>
    <w:rsid w:val="00FF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E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5E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45E2D"/>
    <w:rPr>
      <w:sz w:val="18"/>
      <w:szCs w:val="18"/>
    </w:rPr>
  </w:style>
  <w:style w:type="paragraph" w:styleId="a4">
    <w:name w:val="footer"/>
    <w:basedOn w:val="a"/>
    <w:link w:val="Char0"/>
    <w:uiPriority w:val="99"/>
    <w:semiHidden/>
    <w:unhideWhenUsed/>
    <w:rsid w:val="00245E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45E2D"/>
    <w:rPr>
      <w:sz w:val="18"/>
      <w:szCs w:val="18"/>
    </w:rPr>
  </w:style>
  <w:style w:type="paragraph" w:styleId="a5">
    <w:name w:val="Balloon Text"/>
    <w:basedOn w:val="a"/>
    <w:link w:val="Char1"/>
    <w:uiPriority w:val="99"/>
    <w:semiHidden/>
    <w:unhideWhenUsed/>
    <w:rsid w:val="00B66FB5"/>
    <w:rPr>
      <w:sz w:val="18"/>
      <w:szCs w:val="18"/>
    </w:rPr>
  </w:style>
  <w:style w:type="character" w:customStyle="1" w:styleId="Char1">
    <w:name w:val="批注框文本 Char"/>
    <w:basedOn w:val="a0"/>
    <w:link w:val="a5"/>
    <w:uiPriority w:val="99"/>
    <w:semiHidden/>
    <w:rsid w:val="00B66FB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4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编制数</c:v>
                </c:pt>
              </c:strCache>
            </c:strRef>
          </c:tx>
          <c:invertIfNegative val="0"/>
          <c:cat>
            <c:numRef>
              <c:f>Sheet1!$A$2:$A$5</c:f>
              <c:numCache>
                <c:formatCode>General</c:formatCode>
                <c:ptCount val="4"/>
                <c:pt idx="0">
                  <c:v>14</c:v>
                </c:pt>
                <c:pt idx="1">
                  <c:v>14</c:v>
                </c:pt>
                <c:pt idx="2">
                  <c:v>19</c:v>
                </c:pt>
                <c:pt idx="3">
                  <c:v>9</c:v>
                </c:pt>
              </c:numCache>
            </c:numRef>
          </c:cat>
          <c:val>
            <c:numRef>
              <c:f>Sheet1!$B$2:$B$5</c:f>
              <c:numCache>
                <c:formatCode>General</c:formatCode>
                <c:ptCount val="4"/>
                <c:pt idx="0">
                  <c:v>14</c:v>
                </c:pt>
              </c:numCache>
            </c:numRef>
          </c:val>
        </c:ser>
        <c:ser>
          <c:idx val="1"/>
          <c:order val="1"/>
          <c:tx>
            <c:strRef>
              <c:f>Sheet1!$C$1</c:f>
              <c:strCache>
                <c:ptCount val="1"/>
                <c:pt idx="0">
                  <c:v>行政编制</c:v>
                </c:pt>
              </c:strCache>
            </c:strRef>
          </c:tx>
          <c:invertIfNegative val="0"/>
          <c:cat>
            <c:numRef>
              <c:f>Sheet1!$A$2:$A$5</c:f>
              <c:numCache>
                <c:formatCode>General</c:formatCode>
                <c:ptCount val="4"/>
                <c:pt idx="0">
                  <c:v>14</c:v>
                </c:pt>
                <c:pt idx="1">
                  <c:v>14</c:v>
                </c:pt>
                <c:pt idx="2">
                  <c:v>19</c:v>
                </c:pt>
                <c:pt idx="3">
                  <c:v>9</c:v>
                </c:pt>
              </c:numCache>
            </c:numRef>
          </c:cat>
          <c:val>
            <c:numRef>
              <c:f>Sheet1!$C$2:$C$5</c:f>
              <c:numCache>
                <c:formatCode>General</c:formatCode>
                <c:ptCount val="4"/>
                <c:pt idx="1">
                  <c:v>14</c:v>
                </c:pt>
              </c:numCache>
            </c:numRef>
          </c:val>
        </c:ser>
        <c:ser>
          <c:idx val="2"/>
          <c:order val="2"/>
          <c:tx>
            <c:strRef>
              <c:f>Sheet1!$D$1</c:f>
              <c:strCache>
                <c:ptCount val="1"/>
                <c:pt idx="0">
                  <c:v>实有人数</c:v>
                </c:pt>
              </c:strCache>
            </c:strRef>
          </c:tx>
          <c:invertIfNegative val="0"/>
          <c:cat>
            <c:numRef>
              <c:f>Sheet1!$A$2:$A$5</c:f>
              <c:numCache>
                <c:formatCode>General</c:formatCode>
                <c:ptCount val="4"/>
                <c:pt idx="0">
                  <c:v>14</c:v>
                </c:pt>
                <c:pt idx="1">
                  <c:v>14</c:v>
                </c:pt>
                <c:pt idx="2">
                  <c:v>19</c:v>
                </c:pt>
                <c:pt idx="3">
                  <c:v>9</c:v>
                </c:pt>
              </c:numCache>
            </c:numRef>
          </c:cat>
          <c:val>
            <c:numRef>
              <c:f>Sheet1!$D$2:$D$5</c:f>
              <c:numCache>
                <c:formatCode>General</c:formatCode>
                <c:ptCount val="4"/>
                <c:pt idx="2">
                  <c:v>19</c:v>
                </c:pt>
              </c:numCache>
            </c:numRef>
          </c:val>
        </c:ser>
        <c:ser>
          <c:idx val="3"/>
          <c:order val="3"/>
          <c:tx>
            <c:strRef>
              <c:f>Sheet1!$E$1</c:f>
              <c:strCache>
                <c:ptCount val="1"/>
                <c:pt idx="0">
                  <c:v>退休人数</c:v>
                </c:pt>
              </c:strCache>
            </c:strRef>
          </c:tx>
          <c:invertIfNegative val="0"/>
          <c:cat>
            <c:numRef>
              <c:f>Sheet1!$A$2:$A$5</c:f>
              <c:numCache>
                <c:formatCode>General</c:formatCode>
                <c:ptCount val="4"/>
                <c:pt idx="0">
                  <c:v>14</c:v>
                </c:pt>
                <c:pt idx="1">
                  <c:v>14</c:v>
                </c:pt>
                <c:pt idx="2">
                  <c:v>19</c:v>
                </c:pt>
                <c:pt idx="3">
                  <c:v>9</c:v>
                </c:pt>
              </c:numCache>
            </c:numRef>
          </c:cat>
          <c:val>
            <c:numRef>
              <c:f>Sheet1!$E$2:$E$5</c:f>
              <c:numCache>
                <c:formatCode>General</c:formatCode>
                <c:ptCount val="4"/>
                <c:pt idx="3">
                  <c:v>9</c:v>
                </c:pt>
              </c:numCache>
            </c:numRef>
          </c:val>
        </c:ser>
        <c:dLbls>
          <c:showLegendKey val="0"/>
          <c:showVal val="0"/>
          <c:showCatName val="0"/>
          <c:showSerName val="0"/>
          <c:showPercent val="0"/>
          <c:showBubbleSize val="0"/>
        </c:dLbls>
        <c:gapWidth val="150"/>
        <c:axId val="59328768"/>
        <c:axId val="59338752"/>
      </c:barChart>
      <c:catAx>
        <c:axId val="59328768"/>
        <c:scaling>
          <c:orientation val="minMax"/>
        </c:scaling>
        <c:delete val="0"/>
        <c:axPos val="b"/>
        <c:numFmt formatCode="General" sourceLinked="1"/>
        <c:majorTickMark val="out"/>
        <c:minorTickMark val="none"/>
        <c:tickLblPos val="nextTo"/>
        <c:crossAx val="59338752"/>
        <c:crosses val="autoZero"/>
        <c:auto val="1"/>
        <c:lblAlgn val="ctr"/>
        <c:lblOffset val="100"/>
        <c:noMultiLvlLbl val="0"/>
      </c:catAx>
      <c:valAx>
        <c:axId val="59338752"/>
        <c:scaling>
          <c:orientation val="minMax"/>
        </c:scaling>
        <c:delete val="0"/>
        <c:axPos val="l"/>
        <c:majorGridlines/>
        <c:numFmt formatCode="General" sourceLinked="1"/>
        <c:majorTickMark val="out"/>
        <c:minorTickMark val="none"/>
        <c:tickLblPos val="nextTo"/>
        <c:crossAx val="593287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收入占比</a:t>
            </a:r>
            <a:endParaRPr lang="en-US" altLang="zh-CN"/>
          </a:p>
        </c:rich>
      </c:tx>
      <c:layout/>
      <c:overlay val="0"/>
    </c:title>
    <c:autoTitleDeleted val="0"/>
    <c:plotArea>
      <c:layout/>
      <c:pieChart>
        <c:varyColors val="1"/>
        <c:ser>
          <c:idx val="0"/>
          <c:order val="0"/>
          <c:tx>
            <c:strRef>
              <c:f>Sheet1!$B$1</c:f>
              <c:strCache>
                <c:ptCount val="1"/>
                <c:pt idx="0">
                  <c:v>列1</c:v>
                </c:pt>
              </c:strCache>
            </c:strRef>
          </c:tx>
          <c:cat>
            <c:strRef>
              <c:f>Sheet1!$A$2:$A$5</c:f>
              <c:strCache>
                <c:ptCount val="2"/>
                <c:pt idx="0">
                  <c:v>基本收入</c:v>
                </c:pt>
                <c:pt idx="1">
                  <c:v>项目收入</c:v>
                </c:pt>
              </c:strCache>
            </c:strRef>
          </c:cat>
          <c:val>
            <c:numRef>
              <c:f>Sheet1!$B$2:$B$5</c:f>
              <c:numCache>
                <c:formatCode>General</c:formatCode>
                <c:ptCount val="4"/>
                <c:pt idx="0">
                  <c:v>293.32</c:v>
                </c:pt>
                <c:pt idx="1">
                  <c:v>168.31</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支出占比</a:t>
            </a:r>
          </a:p>
        </c:rich>
      </c:tx>
      <c:layout/>
      <c:overlay val="0"/>
    </c:title>
    <c:autoTitleDeleted val="0"/>
    <c:plotArea>
      <c:layout/>
      <c:pieChart>
        <c:varyColors val="1"/>
        <c:ser>
          <c:idx val="0"/>
          <c:order val="0"/>
          <c:tx>
            <c:strRef>
              <c:f>Sheet1!$B$1</c:f>
              <c:strCache>
                <c:ptCount val="1"/>
                <c:pt idx="0">
                  <c:v>销售额</c:v>
                </c:pt>
              </c:strCache>
            </c:strRef>
          </c:tx>
          <c:cat>
            <c:strRef>
              <c:f>Sheet1!$A$2:$A$5</c:f>
              <c:strCache>
                <c:ptCount val="2"/>
                <c:pt idx="0">
                  <c:v>基本支出</c:v>
                </c:pt>
                <c:pt idx="1">
                  <c:v>项目支出</c:v>
                </c:pt>
              </c:strCache>
            </c:strRef>
          </c:cat>
          <c:val>
            <c:numRef>
              <c:f>Sheet1!$B$2:$B$5</c:f>
              <c:numCache>
                <c:formatCode>General</c:formatCode>
                <c:ptCount val="4"/>
                <c:pt idx="0">
                  <c:v>293.32</c:v>
                </c:pt>
                <c:pt idx="1">
                  <c:v>168.31</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10</Pages>
  <Words>584</Words>
  <Characters>3335</Characters>
  <Application>Microsoft Office Word</Application>
  <DocSecurity>0</DocSecurity>
  <Lines>27</Lines>
  <Paragraphs>7</Paragraphs>
  <ScaleCrop>false</ScaleCrop>
  <Company>微软中国</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xbany</cp:lastModifiedBy>
  <cp:revision>5</cp:revision>
  <dcterms:created xsi:type="dcterms:W3CDTF">2019-10-01T03:59:00Z</dcterms:created>
  <dcterms:modified xsi:type="dcterms:W3CDTF">2020-08-07T07:26:00Z</dcterms:modified>
</cp:coreProperties>
</file>