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61F" w:rsidRPr="00C3261F" w:rsidRDefault="00C3261F" w:rsidP="00C3261F">
      <w:pPr>
        <w:tabs>
          <w:tab w:val="left" w:pos="7560"/>
        </w:tabs>
        <w:spacing w:line="576" w:lineRule="exact"/>
        <w:rPr>
          <w:rFonts w:ascii="黑体" w:eastAsia="黑体" w:hAnsi="黑体" w:cs="Times New Roman" w:hint="eastAsia"/>
          <w:sz w:val="32"/>
          <w:szCs w:val="32"/>
        </w:rPr>
      </w:pPr>
      <w:r w:rsidRPr="00C3261F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C3261F" w:rsidRPr="00C3261F" w:rsidRDefault="00C3261F" w:rsidP="00C3261F">
      <w:pPr>
        <w:tabs>
          <w:tab w:val="left" w:pos="7560"/>
        </w:tabs>
        <w:spacing w:line="576" w:lineRule="exact"/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C3261F">
        <w:rPr>
          <w:rFonts w:ascii="Times New Roman" w:eastAsia="方正小标宋简体" w:hAnsi="Times New Roman" w:cs="Times New Roman" w:hint="eastAsia"/>
          <w:sz w:val="36"/>
          <w:szCs w:val="36"/>
        </w:rPr>
        <w:t>区级</w:t>
      </w:r>
      <w:r w:rsidRPr="00C3261F">
        <w:rPr>
          <w:rFonts w:ascii="Times New Roman" w:eastAsia="方正小标宋简体" w:hAnsi="Times New Roman" w:cs="Times New Roman"/>
          <w:sz w:val="36"/>
          <w:szCs w:val="36"/>
        </w:rPr>
        <w:t>涉企经营许可事项告知承诺制清单（</w:t>
      </w:r>
      <w:r w:rsidRPr="00C3261F">
        <w:rPr>
          <w:rFonts w:ascii="Times New Roman" w:eastAsia="方正小标宋简体" w:hAnsi="Times New Roman" w:cs="Times New Roman"/>
          <w:sz w:val="36"/>
          <w:szCs w:val="36"/>
        </w:rPr>
        <w:t>2021</w:t>
      </w:r>
      <w:r w:rsidRPr="00C3261F">
        <w:rPr>
          <w:rFonts w:ascii="Times New Roman" w:eastAsia="方正小标宋简体" w:hAnsi="Times New Roman" w:cs="Times New Roman"/>
          <w:sz w:val="36"/>
          <w:szCs w:val="36"/>
        </w:rPr>
        <w:t>年版）</w:t>
      </w:r>
    </w:p>
    <w:tbl>
      <w:tblPr>
        <w:tblW w:w="499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/>
      </w:tblPr>
      <w:tblGrid>
        <w:gridCol w:w="388"/>
        <w:gridCol w:w="969"/>
        <w:gridCol w:w="759"/>
        <w:gridCol w:w="774"/>
        <w:gridCol w:w="1841"/>
        <w:gridCol w:w="2474"/>
        <w:gridCol w:w="1210"/>
      </w:tblGrid>
      <w:tr w:rsidR="00C3261F" w:rsidRPr="00C3261F" w:rsidTr="0061209F">
        <w:trPr>
          <w:trHeight w:val="786"/>
          <w:tblHeader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szCs w:val="21"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序号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szCs w:val="21"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事项名称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主管</w:t>
            </w:r>
          </w:p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szCs w:val="21"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部门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szCs w:val="21"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审批层级和部门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szCs w:val="21"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具体改革举措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加强事中事后</w:t>
            </w:r>
          </w:p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szCs w:val="21"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监管措施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黑体简体" w:eastAsia="方正黑体简体" w:hAnsi="黑体" w:cs="黑体" w:hint="eastAsia"/>
                <w:szCs w:val="21"/>
              </w:rPr>
            </w:pPr>
            <w:r w:rsidRPr="00C3261F">
              <w:rPr>
                <w:rFonts w:ascii="方正黑体简体" w:eastAsia="方正黑体简体" w:hAnsi="黑体" w:cs="黑体" w:hint="eastAsia"/>
                <w:kern w:val="0"/>
                <w:szCs w:val="21"/>
                <w:lang/>
              </w:rPr>
              <w:t>设定依据</w:t>
            </w:r>
          </w:p>
        </w:tc>
      </w:tr>
      <w:tr w:rsidR="00C3261F" w:rsidRPr="00C3261F" w:rsidTr="0061209F">
        <w:trPr>
          <w:trHeight w:val="2284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旅馆业特种行业许可证核发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公安部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西安市公安局临潼分局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1．加强对承诺内容真实性的核查，发现虚假承诺、承诺严重不实的要依法处理。2．开展“双随机、一公开”监管，依法查处违法违规行为。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《国务院对确需保留的行政审批项目设定行政许可的决定》</w:t>
            </w:r>
          </w:p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《旅馆业治安管理办法》</w:t>
            </w:r>
          </w:p>
        </w:tc>
      </w:tr>
      <w:tr w:rsidR="00C3261F" w:rsidRPr="00C3261F" w:rsidTr="0061209F">
        <w:trPr>
          <w:trHeight w:val="2827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2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公章刻制业特种行业许可证核发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公安部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西安市公安局临潼分局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加强对承诺内容真实性的核查，发现虚假承诺、承诺严重不实的要依法处理。2．开展“双随机、一公开”监管，依法查处违法违规行为。3．加强公章刻制备案管理，督促公章刻制企业严格落实公章刻制备案管理要求，及时规范上传、报送公章刻制备案信息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《国务院对确需保留的行政审批项目设定行政许可的决定》</w:t>
            </w:r>
          </w:p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《印铸刻字业暂行管理规则》</w:t>
            </w:r>
          </w:p>
        </w:tc>
      </w:tr>
      <w:tr w:rsidR="00C3261F" w:rsidRPr="00C3261F" w:rsidTr="0061209F">
        <w:trPr>
          <w:trHeight w:val="2386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3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互联网上网服务营业场所信息网络安全审核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公安部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西安市公安局临潼分局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加强对承诺内容真实性的核查，发现虚假承诺、承诺严重不实的要依法处理。2．开展“双随机、一公开”监管，依法查处违法违规行为。3．加强信用监管，建立从业人员信用记录，依法依规对失信主体开展失信惩戒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《互联网上网服务营业场所管理条例》</w:t>
            </w:r>
          </w:p>
        </w:tc>
      </w:tr>
      <w:tr w:rsidR="00C3261F" w:rsidRPr="00C3261F" w:rsidTr="0061209F">
        <w:trPr>
          <w:trHeight w:val="3862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4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中介机构从事代理记账业务审批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财政部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对以告知承诺方式取得代理记账资格的中介机构，在一定期限内进行全覆盖检查，加强对其承诺内容真实性的核查，发现虚假承诺或承诺严重不实的要依法处理。2．开展“双随机、一公开”监管，并根据企业受到处罚情况、其他部门移交线索、群众举报等实施重点监管。3．加强信用监管，依法向社会公布中介机构信用状况和违法中介机构名单，依法依规对失信主体开展失信惩戒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《中华人民共和国会计法》</w:t>
            </w:r>
          </w:p>
        </w:tc>
      </w:tr>
      <w:tr w:rsidR="00C3261F" w:rsidRPr="00C3261F" w:rsidTr="0061209F">
        <w:trPr>
          <w:trHeight w:val="2490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lastRenderedPageBreak/>
              <w:t>5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民办职业培训学校设立、分立、合并、变更及终止审批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人力资源社会保障部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1．开展“双随机、一公开”监管，发现违法违规行为要依法查处并公开结果。2．加强信用监管，依法向社会公布民办职业培训学校信用状况，依法依规对失信主体开展失信惩戒。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《中华人民共和国民办教育促进法》</w:t>
            </w:r>
          </w:p>
        </w:tc>
      </w:tr>
      <w:tr w:rsidR="00C3261F" w:rsidRPr="00C3261F" w:rsidTr="0061209F">
        <w:trPr>
          <w:trHeight w:val="2267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6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人力资源服务许可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人力资源社会保障部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1．开展“双随机、一公开”监管，发现违法违规行为要依法查处并公开结果。2．加强信用监管，依法向社会公布人力资源服务机构信用状况，依法依规对失信主体开展失信惩戒。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《中华人民共和国就业促进法》</w:t>
            </w:r>
          </w:p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《人力资源市场暂行条例》</w:t>
            </w:r>
          </w:p>
        </w:tc>
      </w:tr>
      <w:tr w:rsidR="00C3261F" w:rsidRPr="00C3261F" w:rsidTr="0061209F">
        <w:trPr>
          <w:trHeight w:val="2267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7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从事生活垃圾（含粪便）经营性清扫、收集、运输、处理服务审批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住房城乡建设部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发现企业不符合承诺条件开展经营的责令限期整改，逾期不整改或整改后仍达不到要求的依法撤销许可证件。2．构建生活垃圾经营性服务全过程监管体系，强化日常监管。3．推动生活垃圾无害化处理设施建设和运营信息公开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《国务院对确需保留的行政审批项目设定行政许可的决定》</w:t>
            </w:r>
          </w:p>
        </w:tc>
      </w:tr>
      <w:tr w:rsidR="00C3261F" w:rsidRPr="00C3261F" w:rsidTr="0061209F">
        <w:trPr>
          <w:trHeight w:val="2545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8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道路货运经营许可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交通运输部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西安市临潼区交通运输局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强化市场监管、交通运输等部门之间登记许可信息共享。2．在实施许可后一定时期内加强监督检查，对不符合承诺条件开展经营的要责令限期整改，逾期不整改或整改后仍达不到要求的，要依法撤销许可证件。3．发挥行业协会自律作用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《中华人民共和国道路运输条例》</w:t>
            </w:r>
          </w:p>
        </w:tc>
      </w:tr>
      <w:tr w:rsidR="00C3261F" w:rsidRPr="00C3261F" w:rsidTr="0061209F">
        <w:trPr>
          <w:trHeight w:val="2806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9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道路旅客运输站经营许可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交通运输部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西安市临潼区交通运输局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强化市场监管、交通运输等部门之间的登记许可信息共享。2．向社会公开承诺内容，加强社会监督。3．在实施许可后一定时期内加强监督检查，对不符合承诺条件开展经营的要责令限期整改，逾期不整改或整改后仍达不到要求的，要依法撤销许可证件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《中华人民共和国道路运输条例》</w:t>
            </w:r>
          </w:p>
        </w:tc>
      </w:tr>
      <w:tr w:rsidR="00C3261F" w:rsidRPr="00C3261F" w:rsidTr="0061209F">
        <w:trPr>
          <w:trHeight w:val="2337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jc w:val="center"/>
              <w:textAlignment w:val="center"/>
              <w:rPr>
                <w:rFonts w:ascii="方正书宋简体" w:eastAsia="方正书宋简体" w:hAnsi="宋体" w:cs="宋体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lastRenderedPageBreak/>
              <w:t>10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公共场所卫生许可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国家卫生健康委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1．开展“双随机、一公开”监管，发现违法违规行为要依法查处并公开结果。2．加强信用监管，向社会公布卫生状况存在严重问题的公共场所信息。3．畅通投诉举报渠道，依法及时处理投诉举报。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《公共场所卫生管理条例》</w:t>
            </w:r>
          </w:p>
        </w:tc>
      </w:tr>
      <w:tr w:rsidR="00C3261F" w:rsidRPr="00C3261F" w:rsidTr="0061209F">
        <w:trPr>
          <w:trHeight w:val="2789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jc w:val="center"/>
              <w:textAlignment w:val="center"/>
              <w:rPr>
                <w:rFonts w:ascii="方正书宋简体" w:eastAsia="方正书宋简体" w:hAnsi="宋体" w:cs="宋体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11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公众聚集场所投入使用、营业前消防安全检查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应急管理部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临潼区消防救援大队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4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开展“双随机、一公开”监管，对投诉举报多的场所实施重点监管。2．公众聚集场所发生造成人员死亡或重大社会影响的火灾，倒查使用管理方主体责任，依法严肃查处。3．加强信用监管，依法向社会公布公众聚集场所消防安全检查情况，依法依规对失信主体加大抽查比例并开展失信惩戒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《中华人民共和国消防法》</w:t>
            </w:r>
          </w:p>
        </w:tc>
      </w:tr>
      <w:tr w:rsidR="00C3261F" w:rsidRPr="00C3261F" w:rsidTr="0061209F">
        <w:trPr>
          <w:trHeight w:val="2262"/>
          <w:jc w:val="center"/>
        </w:trPr>
        <w:tc>
          <w:tcPr>
            <w:tcW w:w="230" w:type="pct"/>
            <w:shd w:val="clear" w:color="auto" w:fill="auto"/>
            <w:vAlign w:val="center"/>
          </w:tcPr>
          <w:p w:rsidR="00C3261F" w:rsidRPr="00C3261F" w:rsidRDefault="00C3261F" w:rsidP="00C3261F">
            <w:pPr>
              <w:widowControl/>
              <w:spacing w:line="250" w:lineRule="exact"/>
              <w:jc w:val="center"/>
              <w:textAlignment w:val="center"/>
              <w:rPr>
                <w:rFonts w:ascii="方正书宋简体" w:eastAsia="方正书宋简体" w:hAnsi="宋体" w:cs="宋体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szCs w:val="21"/>
              </w:rPr>
              <w:t>12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5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林草种子（普通）生产经营许可证核发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5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国家林草局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5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5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5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1．开展“双随机、一公开”监管，发现违法违规行为要依法查处并公开结果。2．制定核查办法，明确核查时间、标准、方式，优化现场检查程序。3．加强信用监管，建立企业信用记录并依法向社会公开。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5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《中华人民共和国种子法》</w:t>
            </w:r>
          </w:p>
        </w:tc>
      </w:tr>
      <w:tr w:rsidR="00C3261F" w:rsidRPr="00C3261F" w:rsidTr="0061209F">
        <w:trPr>
          <w:trHeight w:val="2110"/>
          <w:jc w:val="center"/>
        </w:trPr>
        <w:tc>
          <w:tcPr>
            <w:tcW w:w="23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13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犬类展览、竞赛、表演许可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西安市公安局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西安市公安局临潼分局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1．加强对承诺内容真实性的核查，发现虚假承诺或者承诺严重不实的要依法处理。2．开展“双随机、一公开”监管，依法查处违法违规行为。3．加强信用监管，依法依规对失信主体开展失信惩戒。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《西安市限制养犬条例》</w:t>
            </w:r>
          </w:p>
        </w:tc>
      </w:tr>
      <w:tr w:rsidR="00C3261F" w:rsidRPr="00C3261F" w:rsidTr="0061209F">
        <w:trPr>
          <w:trHeight w:val="3007"/>
          <w:jc w:val="center"/>
        </w:trPr>
        <w:tc>
          <w:tcPr>
            <w:tcW w:w="23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14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集中供热经营许可证核发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西安市城管局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加强对承诺内容真实性的核查，发现虚假承诺或者承诺严重不实的要依法处理。2．开展“双随机、一公开”监管，依法查处违法违规行为。3．加强信用监管，建立企业信用记录，依法依规对失信主体开展失信惩戒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《西安市集中供热条例》</w:t>
            </w:r>
          </w:p>
        </w:tc>
      </w:tr>
      <w:tr w:rsidR="00C3261F" w:rsidRPr="00C3261F" w:rsidTr="0061209F">
        <w:trPr>
          <w:trHeight w:val="3007"/>
          <w:jc w:val="center"/>
        </w:trPr>
        <w:tc>
          <w:tcPr>
            <w:tcW w:w="23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jc w:val="center"/>
              <w:textAlignment w:val="center"/>
              <w:rPr>
                <w:rFonts w:ascii="方正书宋简体" w:eastAsia="方正书宋简体" w:hAnsi="宋体" w:cs="宋体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lastRenderedPageBreak/>
              <w:t>15</w:t>
            </w:r>
          </w:p>
        </w:tc>
        <w:tc>
          <w:tcPr>
            <w:tcW w:w="575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从事其他印刷品（不含商标、票据、保密印刷）印刷经营活动企业（不含外资企业）的设立、变更审批</w:t>
            </w:r>
          </w:p>
        </w:tc>
        <w:tc>
          <w:tcPr>
            <w:tcW w:w="451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新闻出版署</w:t>
            </w:r>
          </w:p>
        </w:tc>
        <w:tc>
          <w:tcPr>
            <w:tcW w:w="460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西安市临潼区行政审批服务局</w:t>
            </w:r>
          </w:p>
        </w:tc>
        <w:tc>
          <w:tcPr>
            <w:tcW w:w="1093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制作并公布告知承诺书格式文本，一次性告知申请人许可条件和所需材料。对申请人自愿承诺符合许可条件并按要求提交材料的，当场作出许可决定。</w:t>
            </w:r>
          </w:p>
        </w:tc>
        <w:tc>
          <w:tcPr>
            <w:tcW w:w="146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1．开展“双随机、一公开”监管，发现违法违规行为要依法查处并公开结果。2．发现企业不符合承诺条件开展经营的责令限期整改，逾期不整改或整改后仍达不到要求的依法撤销许可证件。3．依法及时处理投诉举报。</w:t>
            </w:r>
          </w:p>
        </w:tc>
        <w:tc>
          <w:tcPr>
            <w:tcW w:w="719" w:type="pct"/>
            <w:shd w:val="clear" w:color="auto" w:fill="FFFFFF"/>
            <w:vAlign w:val="center"/>
          </w:tcPr>
          <w:p w:rsidR="00C3261F" w:rsidRPr="00C3261F" w:rsidRDefault="00C3261F" w:rsidP="00C3261F">
            <w:pPr>
              <w:widowControl/>
              <w:spacing w:line="260" w:lineRule="exact"/>
              <w:textAlignment w:val="center"/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</w:pPr>
            <w:r w:rsidRPr="00C3261F">
              <w:rPr>
                <w:rFonts w:ascii="方正书宋简体" w:eastAsia="方正书宋简体" w:hAnsi="宋体" w:cs="宋体" w:hint="eastAsia"/>
                <w:kern w:val="0"/>
                <w:szCs w:val="21"/>
                <w:lang/>
              </w:rPr>
              <w:t>《印刷业管理条例》</w:t>
            </w:r>
          </w:p>
        </w:tc>
      </w:tr>
    </w:tbl>
    <w:p w:rsidR="00EC44FB" w:rsidRPr="00C3261F" w:rsidRDefault="00C3261F" w:rsidP="00C3261F">
      <w:r w:rsidRPr="00C3261F">
        <w:rPr>
          <w:rFonts w:ascii="Times New Roman" w:eastAsia="宋体" w:hAnsi="Times New Roman" w:cs="Times New Roman"/>
          <w:sz w:val="32"/>
          <w:szCs w:val="32"/>
        </w:rPr>
        <w:br w:type="page"/>
      </w:r>
    </w:p>
    <w:sectPr w:rsidR="00EC44FB" w:rsidRPr="00C3261F" w:rsidSect="00D40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E27" w:rsidRDefault="005E2E27" w:rsidP="00E6082F">
      <w:pPr>
        <w:spacing w:line="240" w:lineRule="auto"/>
      </w:pPr>
      <w:r>
        <w:separator/>
      </w:r>
    </w:p>
  </w:endnote>
  <w:endnote w:type="continuationSeparator" w:id="1">
    <w:p w:rsidR="005E2E27" w:rsidRDefault="005E2E27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E27" w:rsidRDefault="005E2E27" w:rsidP="00E6082F">
      <w:pPr>
        <w:spacing w:line="240" w:lineRule="auto"/>
      </w:pPr>
      <w:r>
        <w:separator/>
      </w:r>
    </w:p>
  </w:footnote>
  <w:footnote w:type="continuationSeparator" w:id="1">
    <w:p w:rsidR="005E2E27" w:rsidRDefault="005E2E27" w:rsidP="00E608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32087B"/>
    <w:rsid w:val="003945E1"/>
    <w:rsid w:val="004F0A09"/>
    <w:rsid w:val="005638EA"/>
    <w:rsid w:val="005E2E27"/>
    <w:rsid w:val="00AA6A8F"/>
    <w:rsid w:val="00C3261F"/>
    <w:rsid w:val="00D40B18"/>
    <w:rsid w:val="00E6082F"/>
    <w:rsid w:val="00EC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526</Words>
  <Characters>3000</Characters>
  <Application>Microsoft Office Word</Application>
  <DocSecurity>0</DocSecurity>
  <Lines>25</Lines>
  <Paragraphs>7</Paragraphs>
  <ScaleCrop>false</ScaleCrop>
  <Company>微软中国</Company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2021-10-18T03:15:00Z</dcterms:created>
  <dcterms:modified xsi:type="dcterms:W3CDTF">2021-11-04T03:04:00Z</dcterms:modified>
</cp:coreProperties>
</file>