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DDC" w:rsidRPr="00344DDC" w:rsidRDefault="00344DDC" w:rsidP="00344DDC">
      <w:pPr>
        <w:tabs>
          <w:tab w:val="left" w:pos="7560"/>
        </w:tabs>
        <w:spacing w:line="576" w:lineRule="exact"/>
        <w:rPr>
          <w:rFonts w:ascii="黑体" w:eastAsia="黑体" w:hAnsi="黑体" w:hint="eastAsia"/>
          <w:sz w:val="32"/>
          <w:szCs w:val="32"/>
        </w:rPr>
      </w:pPr>
      <w:r w:rsidRPr="00344DDC">
        <w:rPr>
          <w:rFonts w:ascii="黑体" w:eastAsia="黑体" w:hAnsi="黑体" w:hint="eastAsia"/>
          <w:sz w:val="32"/>
          <w:szCs w:val="32"/>
        </w:rPr>
        <w:t>附件2</w:t>
      </w:r>
    </w:p>
    <w:p w:rsidR="00344DDC" w:rsidRPr="00344DDC" w:rsidRDefault="00344DDC" w:rsidP="00344DDC">
      <w:pPr>
        <w:tabs>
          <w:tab w:val="left" w:pos="7560"/>
        </w:tabs>
        <w:spacing w:beforeLines="50" w:afterLines="50" w:line="576" w:lineRule="exact"/>
        <w:jc w:val="center"/>
        <w:rPr>
          <w:rFonts w:eastAsia="方正小标宋简体"/>
          <w:sz w:val="36"/>
          <w:szCs w:val="36"/>
        </w:rPr>
      </w:pPr>
      <w:r w:rsidRPr="00344DDC">
        <w:rPr>
          <w:rFonts w:eastAsia="方正小标宋简体" w:hint="eastAsia"/>
          <w:sz w:val="36"/>
          <w:szCs w:val="36"/>
        </w:rPr>
        <w:t>省市级</w:t>
      </w:r>
      <w:r w:rsidRPr="00344DDC">
        <w:rPr>
          <w:rFonts w:eastAsia="方正小标宋简体"/>
          <w:sz w:val="36"/>
          <w:szCs w:val="36"/>
        </w:rPr>
        <w:t>涉企经营许可事项告知承诺制清单（</w:t>
      </w:r>
      <w:r w:rsidRPr="00344DDC">
        <w:rPr>
          <w:rFonts w:eastAsia="方正小标宋简体"/>
          <w:sz w:val="36"/>
          <w:szCs w:val="36"/>
        </w:rPr>
        <w:t>2021</w:t>
      </w:r>
      <w:r w:rsidRPr="00344DDC">
        <w:rPr>
          <w:rFonts w:eastAsia="方正小标宋简体"/>
          <w:sz w:val="36"/>
          <w:szCs w:val="36"/>
        </w:rPr>
        <w:t>年版）</w:t>
      </w:r>
    </w:p>
    <w:tbl>
      <w:tblPr>
        <w:tblW w:w="49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000"/>
      </w:tblPr>
      <w:tblGrid>
        <w:gridCol w:w="551"/>
        <w:gridCol w:w="926"/>
        <w:gridCol w:w="727"/>
        <w:gridCol w:w="741"/>
        <w:gridCol w:w="1762"/>
        <w:gridCol w:w="2585"/>
        <w:gridCol w:w="1123"/>
      </w:tblGrid>
      <w:tr w:rsidR="00344DDC" w:rsidRPr="00344DDC" w:rsidTr="0061209F">
        <w:trPr>
          <w:trHeight w:val="786"/>
          <w:tblHeader/>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序号</w:t>
            </w:r>
          </w:p>
        </w:tc>
        <w:tc>
          <w:tcPr>
            <w:tcW w:w="550" w:type="pct"/>
            <w:shd w:val="clear" w:color="auto" w:fill="FFFFFF"/>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事项名称</w:t>
            </w:r>
          </w:p>
        </w:tc>
        <w:tc>
          <w:tcPr>
            <w:tcW w:w="432" w:type="pct"/>
            <w:shd w:val="clear" w:color="auto" w:fill="FFFFFF"/>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kern w:val="0"/>
                <w:szCs w:val="21"/>
                <w:lang/>
              </w:rPr>
            </w:pPr>
            <w:r w:rsidRPr="00344DDC">
              <w:rPr>
                <w:rFonts w:ascii="方正黑体简体" w:eastAsia="方正黑体简体" w:hAnsi="黑体" w:cs="黑体" w:hint="eastAsia"/>
                <w:kern w:val="0"/>
                <w:szCs w:val="21"/>
                <w:lang/>
              </w:rPr>
              <w:t>主管</w:t>
            </w:r>
          </w:p>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部门</w:t>
            </w:r>
          </w:p>
        </w:tc>
        <w:tc>
          <w:tcPr>
            <w:tcW w:w="440" w:type="pct"/>
            <w:shd w:val="clear" w:color="auto" w:fill="FFFFFF"/>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审批层级和部门</w:t>
            </w:r>
          </w:p>
        </w:tc>
        <w:tc>
          <w:tcPr>
            <w:tcW w:w="1046" w:type="pct"/>
            <w:shd w:val="clear" w:color="auto" w:fill="FFFFFF"/>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具体改革举措</w:t>
            </w:r>
          </w:p>
        </w:tc>
        <w:tc>
          <w:tcPr>
            <w:tcW w:w="1535" w:type="pct"/>
            <w:shd w:val="clear" w:color="auto" w:fill="FFFFFF"/>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kern w:val="0"/>
                <w:szCs w:val="21"/>
                <w:lang/>
              </w:rPr>
            </w:pPr>
            <w:r w:rsidRPr="00344DDC">
              <w:rPr>
                <w:rFonts w:ascii="方正黑体简体" w:eastAsia="方正黑体简体" w:hAnsi="黑体" w:cs="黑体" w:hint="eastAsia"/>
                <w:kern w:val="0"/>
                <w:szCs w:val="21"/>
                <w:lang/>
              </w:rPr>
              <w:t>加强事中事后</w:t>
            </w:r>
          </w:p>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监管措施</w:t>
            </w:r>
          </w:p>
        </w:tc>
        <w:tc>
          <w:tcPr>
            <w:tcW w:w="666" w:type="pct"/>
            <w:shd w:val="clear" w:color="auto" w:fill="FFFFFF"/>
            <w:vAlign w:val="center"/>
          </w:tcPr>
          <w:p w:rsidR="00344DDC" w:rsidRPr="00344DDC" w:rsidRDefault="00344DDC" w:rsidP="00344DDC">
            <w:pPr>
              <w:widowControl/>
              <w:spacing w:line="260" w:lineRule="exact"/>
              <w:jc w:val="center"/>
              <w:textAlignment w:val="center"/>
              <w:rPr>
                <w:rFonts w:ascii="方正黑体简体" w:eastAsia="方正黑体简体" w:hAnsi="黑体" w:cs="黑体" w:hint="eastAsia"/>
                <w:szCs w:val="21"/>
              </w:rPr>
            </w:pPr>
            <w:r w:rsidRPr="00344DDC">
              <w:rPr>
                <w:rFonts w:ascii="方正黑体简体" w:eastAsia="方正黑体简体" w:hAnsi="黑体" w:cs="黑体" w:hint="eastAsia"/>
                <w:kern w:val="0"/>
                <w:szCs w:val="21"/>
                <w:lang/>
              </w:rPr>
              <w:t>设定依据</w:t>
            </w:r>
          </w:p>
        </w:tc>
      </w:tr>
      <w:tr w:rsidR="00344DDC" w:rsidRPr="00344DDC" w:rsidTr="0061209F">
        <w:trPr>
          <w:trHeight w:val="3639"/>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会计师事务所分支机构设立审批</w:t>
            </w:r>
          </w:p>
        </w:tc>
        <w:tc>
          <w:tcPr>
            <w:tcW w:w="432" w:type="pct"/>
            <w:shd w:val="clear" w:color="auto" w:fill="FFFFFF"/>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财政部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省财政厅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以告知承诺方式取得执业许可的会计师事务所分支机构，在一定期限内进行全覆盖检查，加强对其承诺内容真实性的核查，发现虚假承诺或承诺严重不实的要依法处理。2．开展“双随机、一公开”监管，并根据会计师事务所受到处罚情况、其他部门移交线索、群众举报等实施重点监管。3．加强信用监管，完善会计师事务所黑名单制度，依法依规对失信主体开展失信惩戒。</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《中华人民共和国注册会计师法》</w:t>
            </w:r>
          </w:p>
        </w:tc>
      </w:tr>
      <w:tr w:rsidR="00344DDC" w:rsidRPr="00344DDC" w:rsidTr="0061209F">
        <w:trPr>
          <w:trHeight w:val="2616"/>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2</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经营性中外合作职业技能培训机构设立、分立、合并、变更、终止审批</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人力资源社会保障部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省人力资源社会保障厅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1．开展“双随机、一公开”监管，发现违法违规行为要依法查处并公开结果。2．加强信用监管，依法向社会公布经营性中外合作职业技能培训机构信用状况，依法依规对失信主体开展失信惩戒。</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《中华人民共和国中外合作办学条例》</w:t>
            </w:r>
          </w:p>
        </w:tc>
      </w:tr>
      <w:tr w:rsidR="00344DDC" w:rsidRPr="00344DDC" w:rsidTr="0061209F">
        <w:trPr>
          <w:trHeight w:val="3874"/>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3</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城乡规划编制单位乙级资质认定</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自然资源部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省自然资源厅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发现违法违规行为要依法查处并公开结果。2．对违反国土空间规划、未落实约束性指标和刚性管控要求的机构，实施重点监管。3．加强信用监管，建立有关企业信用记录，依法依规对失信主体开展失信惩戒。4．发挥行业协会自律作用。5．修改完善城乡规划编制单位资质管理规定。</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《中华人民共和国城乡规划法》</w:t>
            </w:r>
          </w:p>
        </w:tc>
      </w:tr>
      <w:tr w:rsidR="00344DDC" w:rsidRPr="00344DDC" w:rsidTr="0061209F">
        <w:trPr>
          <w:trHeight w:val="3950"/>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lastRenderedPageBreak/>
              <w:t>4</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水运工程监理企业乙级资质认定</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交通运输部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省交通运输厅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建立健全水运工程监理企业黑名单制度。4．发挥行业协会自律作用。</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《建设工程质量管理条例》</w:t>
            </w:r>
          </w:p>
        </w:tc>
      </w:tr>
      <w:tr w:rsidR="00344DDC" w:rsidRPr="00344DDC" w:rsidTr="0061209F">
        <w:trPr>
          <w:trHeight w:val="4195"/>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5</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水运工程监理企业机电专项资质认定</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交通运输部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省交通运输厅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通过告知承诺方式取得资质认定的企业在一定期限内开展许可条件核查，发现虚假承诺或者承诺严重不实的要依法处理。2．开展“双随机、一公开”监管，发现违法违规行为要依法查处并公开结果。3．加强信用监管，依法向社会公布水运工程监理企业信用状况，依法依规建立水运工程监理企业黑名单制度。4．发挥行业协会自律作用。</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《建设工程质量管理条例》</w:t>
            </w:r>
          </w:p>
        </w:tc>
      </w:tr>
      <w:tr w:rsidR="00344DDC" w:rsidRPr="00344DDC" w:rsidTr="0061209F">
        <w:trPr>
          <w:trHeight w:val="3578"/>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6</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港口（涉及客运和危险货物港口作业的经营项目除外）经营许可</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交通运输部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省交通运输厅或所在地港口部门</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1．对不符合承诺条件开展经营的要责令限期整改，逾期不整改或整改后仍达不到要求的，要依法撤销许可证件。2．加强信用监管，依法依规建立健全诚信管理制度，依法及时向社会公布港口企业信用状况。</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《中华人民共和国港口法》</w:t>
            </w:r>
          </w:p>
        </w:tc>
      </w:tr>
      <w:tr w:rsidR="00344DDC" w:rsidRPr="00344DDC" w:rsidTr="0061209F">
        <w:trPr>
          <w:trHeight w:val="3114"/>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lastRenderedPageBreak/>
              <w:t>7</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水利工程质量检测单位资质认定（乙级）</w:t>
            </w:r>
          </w:p>
        </w:tc>
        <w:tc>
          <w:tcPr>
            <w:tcW w:w="432" w:type="pct"/>
            <w:shd w:val="clear" w:color="auto" w:fill="FFFFFF"/>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水利部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省水利厅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对投诉举报多的单位实施重点监管，加强对企业承诺内容真实性的核查，发现虚假承诺或者承诺严重不实的要依法处理。2．加强信用监管，依法向社会公布水利工程质量检测单位（乙级）信用状况，依法依规对失信主体加大抽查比例并开展失信惩戒。</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《国务院对确需保留的行政审批项目设定行政许可的决定》</w:t>
            </w:r>
          </w:p>
        </w:tc>
      </w:tr>
      <w:tr w:rsidR="00344DDC" w:rsidRPr="00344DDC" w:rsidTr="0061209F">
        <w:trPr>
          <w:trHeight w:val="2294"/>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8</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从事拍卖业务许可</w:t>
            </w:r>
          </w:p>
        </w:tc>
        <w:tc>
          <w:tcPr>
            <w:tcW w:w="432" w:type="pct"/>
            <w:shd w:val="clear" w:color="auto" w:fill="FFFFFF"/>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商务部</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省商务厅</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1．加强部门间信息共享，统一归集企业信用信息，依法进行公示。2．完善拍卖企业年度核查制度。3．密切与有关部门的联系协调，加强跨部门监管。4．支持行业协会发挥自律作用。</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《中华人民共和国拍卖法》</w:t>
            </w:r>
          </w:p>
        </w:tc>
      </w:tr>
      <w:tr w:rsidR="00344DDC" w:rsidRPr="00344DDC" w:rsidTr="0061209F">
        <w:trPr>
          <w:trHeight w:val="3230"/>
          <w:jc w:val="center"/>
        </w:trPr>
        <w:tc>
          <w:tcPr>
            <w:tcW w:w="327" w:type="pct"/>
            <w:shd w:val="clear" w:color="auto" w:fill="auto"/>
            <w:vAlign w:val="center"/>
          </w:tcPr>
          <w:p w:rsidR="00344DDC" w:rsidRPr="00344DDC" w:rsidRDefault="00344DDC" w:rsidP="00344DDC">
            <w:pPr>
              <w:widowControl/>
              <w:spacing w:line="240" w:lineRule="exact"/>
              <w:jc w:val="center"/>
              <w:textAlignment w:val="center"/>
              <w:rPr>
                <w:rFonts w:ascii="方正书宋简体" w:eastAsia="方正书宋简体" w:hAnsi="宋体" w:cs="宋体" w:hint="eastAsia"/>
                <w:szCs w:val="21"/>
              </w:rPr>
            </w:pPr>
            <w:r w:rsidRPr="00344DDC">
              <w:rPr>
                <w:rFonts w:ascii="方正书宋简体" w:eastAsia="方正书宋简体" w:hAnsi="宋体" w:cs="宋体" w:hint="eastAsia"/>
                <w:szCs w:val="21"/>
              </w:rPr>
              <w:t>9</w:t>
            </w:r>
          </w:p>
        </w:tc>
        <w:tc>
          <w:tcPr>
            <w:tcW w:w="550"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社会办医疗机构乙类大型医用设备配置许可</w:t>
            </w:r>
          </w:p>
        </w:tc>
        <w:tc>
          <w:tcPr>
            <w:tcW w:w="432"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国家卫生健康委</w:t>
            </w:r>
          </w:p>
        </w:tc>
        <w:tc>
          <w:tcPr>
            <w:tcW w:w="440"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省卫生健康委</w:t>
            </w:r>
          </w:p>
        </w:tc>
        <w:tc>
          <w:tcPr>
            <w:tcW w:w="1046"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提供虚假材料、未达到承诺要求或者采取其他欺骗手段取得配置许可证的要依法处理。2．加强医疗机构执业活动监管，发现违法违规行为要依法查处并公开结果。3．加强信用监管，向社会公布配置乙类大型医用设备医疗机构的信用状况。4．依法及时处理投诉举报。5．加强行业自律。</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《医疗器械监督管理条例》</w:t>
            </w:r>
          </w:p>
        </w:tc>
      </w:tr>
      <w:tr w:rsidR="00344DDC" w:rsidRPr="00344DDC" w:rsidTr="0061209F">
        <w:trPr>
          <w:trHeight w:val="3021"/>
          <w:jc w:val="center"/>
        </w:trPr>
        <w:tc>
          <w:tcPr>
            <w:tcW w:w="327" w:type="pct"/>
            <w:shd w:val="clear" w:color="auto" w:fill="auto"/>
            <w:vAlign w:val="center"/>
          </w:tcPr>
          <w:p w:rsidR="00344DDC" w:rsidRPr="00344DDC" w:rsidRDefault="00344DDC" w:rsidP="00344DDC">
            <w:pPr>
              <w:widowControl/>
              <w:spacing w:line="24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10</w:t>
            </w:r>
          </w:p>
        </w:tc>
        <w:tc>
          <w:tcPr>
            <w:tcW w:w="550"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口岸卫生许可证（涉及公共场所）核发</w:t>
            </w:r>
          </w:p>
        </w:tc>
        <w:tc>
          <w:tcPr>
            <w:tcW w:w="432"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海关总署</w:t>
            </w:r>
          </w:p>
        </w:tc>
        <w:tc>
          <w:tcPr>
            <w:tcW w:w="440"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西安海关</w:t>
            </w:r>
          </w:p>
        </w:tc>
        <w:tc>
          <w:tcPr>
            <w:tcW w:w="1046"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4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以告知承诺方式取得许可证的企业，加强对其承诺内容真实性的核查，发现虚假承诺或承诺严重不实的要依法处理。2．开展“双随机、一公开”监管，发现违法违规行为要依法查处并公开结果。3．对许可证有效期届满延期换证的企业，在日常监管中核查承诺情况。</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《中华人民共和国国境卫生检疫法实施细则》</w:t>
            </w:r>
          </w:p>
        </w:tc>
      </w:tr>
      <w:tr w:rsidR="00344DDC" w:rsidRPr="00344DDC" w:rsidTr="0061209F">
        <w:trPr>
          <w:trHeight w:val="4433"/>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lastRenderedPageBreak/>
              <w:t>11</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检验检测机构资质认定</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市场监管总局</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省市场监管局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对社会关注度高、风险等级高、投诉举报多的领域实施重点监管。2．对以告知承诺方式取得资质认定的机构，加强对其承诺内容真实性的核查，发现虚假承诺或者承诺严重不实的要依法处理。3．加强信用监管，依法向社会公布检验检测机构信用状况，依法依规对失信主体加大抽查比例并开展失信惩戒。</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《中华人民共和国计量法》</w:t>
            </w:r>
          </w:p>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《中华人民共和国食品安全法》</w:t>
            </w:r>
          </w:p>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《中华人民共和国计量法实施细则》</w:t>
            </w:r>
          </w:p>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《中华人民共和国认证认可条例》</w:t>
            </w:r>
          </w:p>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《医疗器械监督管理条例》</w:t>
            </w:r>
          </w:p>
        </w:tc>
      </w:tr>
      <w:tr w:rsidR="00344DDC" w:rsidRPr="00344DDC" w:rsidTr="0061209F">
        <w:trPr>
          <w:trHeight w:val="2616"/>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12</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重要工业产品生产许可证核发（食品相关产品、化肥）</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市场监管总局</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省市场监管局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1．对通过告知承诺取得许可证（包括许可范围变更）的企业开展例行检查，发现虚假承诺或者承诺严重不实的要依法处理。2．对许可有效期届满延期换证的企业，在日常监管中核查承诺情况。</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《中华人民共和国食品安全法》</w:t>
            </w:r>
          </w:p>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《中华人民共和国工业产品生产许可证管理条例》</w:t>
            </w:r>
          </w:p>
        </w:tc>
      </w:tr>
      <w:tr w:rsidR="00344DDC" w:rsidRPr="00344DDC" w:rsidTr="0061209F">
        <w:trPr>
          <w:trHeight w:val="2350"/>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13</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音像制作单位设立、变更审批</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新闻出版署</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省新闻出版局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auto"/>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1．申请人达到法定条件前，不得从事相关经营活动。2．实行全覆盖例行检查，发现实际情况与承诺内容不符的，依法撤销审批并予以处罚。</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《音像制品管理条例》</w:t>
            </w:r>
          </w:p>
        </w:tc>
      </w:tr>
      <w:tr w:rsidR="00344DDC" w:rsidRPr="00344DDC" w:rsidTr="0061209F">
        <w:trPr>
          <w:trHeight w:val="2340"/>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14</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电子出版物制作单位设立、变更审批</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新闻出版署</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省新闻出版局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1．申请人达到法定条件前，不得从事相关经营活动。2．实行全覆盖例行检查，发现实际情况与承诺内容不符的，依法撤销审批并予以处罚。</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《音像制品管理条例》</w:t>
            </w:r>
          </w:p>
        </w:tc>
      </w:tr>
      <w:tr w:rsidR="00344DDC" w:rsidRPr="00344DDC" w:rsidTr="0061209F">
        <w:trPr>
          <w:trHeight w:val="4095"/>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lastRenderedPageBreak/>
              <w:t>15</w:t>
            </w:r>
          </w:p>
        </w:tc>
        <w:tc>
          <w:tcPr>
            <w:tcW w:w="550" w:type="pct"/>
            <w:shd w:val="clear" w:color="auto" w:fill="auto"/>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从事包装装潢印刷品印刷经营活动企业（不含外资企业）的设立、变更审批</w:t>
            </w:r>
          </w:p>
        </w:tc>
        <w:tc>
          <w:tcPr>
            <w:tcW w:w="432" w:type="pct"/>
            <w:shd w:val="clear" w:color="auto" w:fill="auto"/>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新闻出版署</w:t>
            </w:r>
          </w:p>
        </w:tc>
        <w:tc>
          <w:tcPr>
            <w:tcW w:w="440" w:type="pct"/>
            <w:shd w:val="clear" w:color="auto" w:fill="auto"/>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西安市新闻出版局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发现违法违规行为要依法查处并公开结果。2．发现企业不符合承诺条件开展经营的责令限期整改，逾期不整改或整改后仍达不到要求的依法撤销许可证件。3．依法及时处理投诉举报。</w:t>
            </w:r>
          </w:p>
        </w:tc>
        <w:tc>
          <w:tcPr>
            <w:tcW w:w="666" w:type="pct"/>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《印刷业管理条例》</w:t>
            </w:r>
          </w:p>
        </w:tc>
      </w:tr>
      <w:tr w:rsidR="00344DDC" w:rsidRPr="00344DDC" w:rsidTr="0061209F">
        <w:trPr>
          <w:trHeight w:val="3564"/>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16</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电力业务许可证核发</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国家能源局</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国家能源局西北监管局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《中华人民共和国电力法》</w:t>
            </w:r>
          </w:p>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《电力供应与使用条例》</w:t>
            </w:r>
          </w:p>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《电力监管条例》</w:t>
            </w:r>
          </w:p>
        </w:tc>
      </w:tr>
      <w:tr w:rsidR="00344DDC" w:rsidRPr="00344DDC" w:rsidTr="0061209F">
        <w:trPr>
          <w:trHeight w:val="4193"/>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17</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承装（修、试）电力设施许可证核发</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国家能源局</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国家能源局西北监管局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开展“双随机、一公开”监管，依法查处违规行为。2．推进部门间信息共享应用，加强信用监管，健全信用告知预警机制，依法依规对失信主体开展失信惩戒。3．发现企业不符合承诺条件开展经营的责令限期整改，逾期不整改或整改后仍达不到要求的依法撤销许可证件。</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kern w:val="0"/>
                <w:szCs w:val="21"/>
                <w:lang/>
              </w:rPr>
            </w:pPr>
            <w:r w:rsidRPr="00344DDC">
              <w:rPr>
                <w:rFonts w:ascii="方正书宋简体" w:eastAsia="方正书宋简体" w:hAnsi="宋体" w:cs="宋体" w:hint="eastAsia"/>
                <w:kern w:val="0"/>
                <w:szCs w:val="21"/>
                <w:lang/>
              </w:rPr>
              <w:t>《中华人民共和国电力法》</w:t>
            </w:r>
          </w:p>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《电力供应与使用条例》</w:t>
            </w:r>
          </w:p>
        </w:tc>
      </w:tr>
      <w:tr w:rsidR="00344DDC" w:rsidRPr="00344DDC" w:rsidTr="0061209F">
        <w:trPr>
          <w:trHeight w:val="4854"/>
          <w:jc w:val="center"/>
        </w:trPr>
        <w:tc>
          <w:tcPr>
            <w:tcW w:w="327" w:type="pct"/>
            <w:shd w:val="clear" w:color="auto" w:fill="auto"/>
            <w:vAlign w:val="center"/>
          </w:tcPr>
          <w:p w:rsidR="00344DDC" w:rsidRPr="00344DDC" w:rsidRDefault="00344DDC" w:rsidP="00344DDC">
            <w:pPr>
              <w:widowControl/>
              <w:spacing w:line="25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lastRenderedPageBreak/>
              <w:t>18</w:t>
            </w:r>
          </w:p>
        </w:tc>
        <w:tc>
          <w:tcPr>
            <w:tcW w:w="550"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省级权限内国家重点保护陆生野生动物人工繁育许可证核发（已制定人工繁育技术标准的物种和列入人工繁育国家重点保护陆生野生动物目录的物种）</w:t>
            </w:r>
          </w:p>
        </w:tc>
        <w:tc>
          <w:tcPr>
            <w:tcW w:w="432"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国家林草局</w:t>
            </w:r>
          </w:p>
        </w:tc>
        <w:tc>
          <w:tcPr>
            <w:tcW w:w="440"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省林业局</w:t>
            </w:r>
          </w:p>
        </w:tc>
        <w:tc>
          <w:tcPr>
            <w:tcW w:w="1046"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1．严格落实行业标准和规范要求，加大监督检查力度。2．加强信用监管，依法依规对失信主体开展失信惩戒。3．组织开展行业培训。4．发挥行业协会自律作用。</w:t>
            </w:r>
          </w:p>
        </w:tc>
        <w:tc>
          <w:tcPr>
            <w:tcW w:w="666"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《中华人民共和国野生动物保护法》</w:t>
            </w:r>
          </w:p>
        </w:tc>
      </w:tr>
      <w:tr w:rsidR="00344DDC" w:rsidRPr="00344DDC" w:rsidTr="0061209F">
        <w:trPr>
          <w:trHeight w:val="2116"/>
          <w:jc w:val="center"/>
        </w:trPr>
        <w:tc>
          <w:tcPr>
            <w:tcW w:w="327" w:type="pct"/>
            <w:shd w:val="clear" w:color="auto" w:fill="auto"/>
            <w:vAlign w:val="center"/>
          </w:tcPr>
          <w:p w:rsidR="00344DDC" w:rsidRPr="00344DDC" w:rsidRDefault="00344DDC" w:rsidP="00344DDC">
            <w:pPr>
              <w:widowControl/>
              <w:spacing w:line="25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19</w:t>
            </w:r>
          </w:p>
        </w:tc>
        <w:tc>
          <w:tcPr>
            <w:tcW w:w="550"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药品互联网信息服务审批</w:t>
            </w:r>
          </w:p>
        </w:tc>
        <w:tc>
          <w:tcPr>
            <w:tcW w:w="432"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国家药监局</w:t>
            </w:r>
          </w:p>
        </w:tc>
        <w:tc>
          <w:tcPr>
            <w:tcW w:w="440"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省药监局</w:t>
            </w:r>
          </w:p>
        </w:tc>
        <w:tc>
          <w:tcPr>
            <w:tcW w:w="1046"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c>
          <w:tcPr>
            <w:tcW w:w="666"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《互联网信息服务管理办法》</w:t>
            </w:r>
          </w:p>
        </w:tc>
      </w:tr>
      <w:tr w:rsidR="00344DDC" w:rsidRPr="00344DDC" w:rsidTr="0061209F">
        <w:trPr>
          <w:trHeight w:val="2473"/>
          <w:jc w:val="center"/>
        </w:trPr>
        <w:tc>
          <w:tcPr>
            <w:tcW w:w="327" w:type="pct"/>
            <w:shd w:val="clear" w:color="auto" w:fill="auto"/>
            <w:vAlign w:val="center"/>
          </w:tcPr>
          <w:p w:rsidR="00344DDC" w:rsidRPr="00344DDC" w:rsidRDefault="00344DDC" w:rsidP="00344DDC">
            <w:pPr>
              <w:widowControl/>
              <w:spacing w:line="25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t>20</w:t>
            </w:r>
          </w:p>
        </w:tc>
        <w:tc>
          <w:tcPr>
            <w:tcW w:w="550"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医疗器械互联网信息服务审批</w:t>
            </w:r>
          </w:p>
        </w:tc>
        <w:tc>
          <w:tcPr>
            <w:tcW w:w="432"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国家药监局</w:t>
            </w:r>
          </w:p>
        </w:tc>
        <w:tc>
          <w:tcPr>
            <w:tcW w:w="440"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省药监局</w:t>
            </w:r>
          </w:p>
        </w:tc>
        <w:tc>
          <w:tcPr>
            <w:tcW w:w="1046"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以告知承诺方式取得资格认定的机构，加强对其承诺真实性的核查，发现虚假承诺或者承诺严重不实的要依法处理。2．加强网络监测，对发现的违法违规问题依法查处。3．向社会公开资格证书信息，加强社会监督。</w:t>
            </w:r>
          </w:p>
        </w:tc>
        <w:tc>
          <w:tcPr>
            <w:tcW w:w="666" w:type="pct"/>
            <w:shd w:val="clear" w:color="auto" w:fill="FFFFFF"/>
            <w:vAlign w:val="center"/>
          </w:tcPr>
          <w:p w:rsidR="00344DDC" w:rsidRPr="00344DDC" w:rsidRDefault="00344DDC" w:rsidP="00344DDC">
            <w:pPr>
              <w:widowControl/>
              <w:spacing w:line="25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《互联网信息服务管理办法》</w:t>
            </w:r>
          </w:p>
        </w:tc>
      </w:tr>
      <w:tr w:rsidR="00344DDC" w:rsidRPr="00344DDC" w:rsidTr="0061209F">
        <w:trPr>
          <w:trHeight w:val="3012"/>
          <w:jc w:val="center"/>
        </w:trPr>
        <w:tc>
          <w:tcPr>
            <w:tcW w:w="327" w:type="pct"/>
            <w:shd w:val="clear" w:color="auto" w:fill="auto"/>
            <w:vAlign w:val="center"/>
          </w:tcPr>
          <w:p w:rsidR="00344DDC" w:rsidRPr="00344DDC" w:rsidRDefault="00344DDC" w:rsidP="00344DDC">
            <w:pPr>
              <w:widowControl/>
              <w:spacing w:line="260" w:lineRule="exact"/>
              <w:jc w:val="center"/>
              <w:textAlignment w:val="center"/>
              <w:rPr>
                <w:rFonts w:ascii="方正书宋简体" w:eastAsia="方正书宋简体" w:hAnsi="宋体" w:cs="宋体"/>
                <w:szCs w:val="21"/>
              </w:rPr>
            </w:pPr>
            <w:r w:rsidRPr="00344DDC">
              <w:rPr>
                <w:rFonts w:ascii="方正书宋简体" w:eastAsia="方正书宋简体" w:hAnsi="宋体" w:cs="宋体" w:hint="eastAsia"/>
                <w:kern w:val="0"/>
                <w:szCs w:val="21"/>
                <w:lang/>
              </w:rPr>
              <w:lastRenderedPageBreak/>
              <w:t>21</w:t>
            </w:r>
          </w:p>
        </w:tc>
        <w:tc>
          <w:tcPr>
            <w:tcW w:w="55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医疗机构使用放射性药品（一、二类）许可</w:t>
            </w:r>
          </w:p>
        </w:tc>
        <w:tc>
          <w:tcPr>
            <w:tcW w:w="432"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国家药监局</w:t>
            </w:r>
          </w:p>
        </w:tc>
        <w:tc>
          <w:tcPr>
            <w:tcW w:w="440"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省药监局</w:t>
            </w:r>
          </w:p>
        </w:tc>
        <w:tc>
          <w:tcPr>
            <w:tcW w:w="104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制作并公布告知承诺书格式文本，一次性告知申请人许可条件和所需材料。对申请人自愿承诺符合许可条件并按要求提交材料的，当场作出许可决定。</w:t>
            </w:r>
          </w:p>
        </w:tc>
        <w:tc>
          <w:tcPr>
            <w:tcW w:w="1535"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1．对以告知承诺方式取得许可证的医疗机构，加强对其承诺真实性的核查，发现虚假承诺或承诺严重不实的要依法处理。2．加强药监、卫生健康、生态环境等部门间的协调配合，及时共享医疗机构使用放射性药品信息。3．加强对医疗机构使用放射性药品的日常监管。4．及时向社会公开许可证有关信息，加强社会监督。</w:t>
            </w:r>
          </w:p>
        </w:tc>
        <w:tc>
          <w:tcPr>
            <w:tcW w:w="666" w:type="pct"/>
            <w:shd w:val="clear" w:color="auto" w:fill="FFFFFF"/>
            <w:vAlign w:val="center"/>
          </w:tcPr>
          <w:p w:rsidR="00344DDC" w:rsidRPr="00344DDC" w:rsidRDefault="00344DDC" w:rsidP="00344DDC">
            <w:pPr>
              <w:widowControl/>
              <w:spacing w:line="260" w:lineRule="exact"/>
              <w:textAlignment w:val="center"/>
              <w:rPr>
                <w:rFonts w:ascii="方正书宋简体" w:eastAsia="方正书宋简体" w:hAnsi="宋体" w:cs="宋体" w:hint="eastAsia"/>
                <w:szCs w:val="21"/>
              </w:rPr>
            </w:pPr>
            <w:r w:rsidRPr="00344DDC">
              <w:rPr>
                <w:rFonts w:ascii="方正书宋简体" w:eastAsia="方正书宋简体" w:hAnsi="宋体" w:cs="宋体" w:hint="eastAsia"/>
                <w:kern w:val="0"/>
                <w:szCs w:val="21"/>
                <w:lang/>
              </w:rPr>
              <w:t>《放射性药品管理办法》</w:t>
            </w:r>
          </w:p>
        </w:tc>
      </w:tr>
    </w:tbl>
    <w:p w:rsidR="00A93B86" w:rsidRPr="00453A98" w:rsidRDefault="00A93B86" w:rsidP="00A93B86">
      <w:pPr>
        <w:spacing w:line="600" w:lineRule="exact"/>
        <w:rPr>
          <w:rFonts w:ascii="黑体" w:eastAsia="黑体" w:hAnsi="华文仿宋"/>
          <w:color w:val="000000"/>
          <w:kern w:val="0"/>
          <w:sz w:val="32"/>
          <w:szCs w:val="32"/>
        </w:rPr>
      </w:pPr>
    </w:p>
    <w:p w:rsidR="00A93B86" w:rsidRPr="00453A98" w:rsidRDefault="00A93B86" w:rsidP="00A93B86">
      <w:pPr>
        <w:spacing w:line="600" w:lineRule="exact"/>
        <w:rPr>
          <w:rFonts w:ascii="黑体" w:eastAsia="黑体" w:hAnsi="华文仿宋"/>
          <w:color w:val="000000"/>
          <w:kern w:val="0"/>
          <w:sz w:val="32"/>
          <w:szCs w:val="32"/>
        </w:rPr>
      </w:pPr>
    </w:p>
    <w:p w:rsidR="008C6DBC" w:rsidRDefault="008C6DBC"/>
    <w:sectPr w:rsidR="008C6DBC" w:rsidSect="000F16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1CBB" w:rsidRDefault="00601CBB" w:rsidP="00A93B86">
      <w:r>
        <w:separator/>
      </w:r>
    </w:p>
  </w:endnote>
  <w:endnote w:type="continuationSeparator" w:id="1">
    <w:p w:rsidR="00601CBB" w:rsidRDefault="00601CBB" w:rsidP="00A93B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黑体简体">
    <w:altName w:val="Arial Unicode MS"/>
    <w:charset w:val="86"/>
    <w:family w:val="auto"/>
    <w:pitch w:val="variable"/>
    <w:sig w:usb0="00000000" w:usb1="080E0000" w:usb2="00000010" w:usb3="00000000" w:csb0="00040000" w:csb1="00000000"/>
  </w:font>
  <w:font w:name="方正书宋简体">
    <w:altName w:val="Arial Unicode MS"/>
    <w:charset w:val="86"/>
    <w:family w:val="auto"/>
    <w:pitch w:val="variable"/>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1CBB" w:rsidRDefault="00601CBB" w:rsidP="00A93B86">
      <w:r>
        <w:separator/>
      </w:r>
    </w:p>
  </w:footnote>
  <w:footnote w:type="continuationSeparator" w:id="1">
    <w:p w:rsidR="00601CBB" w:rsidRDefault="00601CBB" w:rsidP="00A93B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93B86"/>
    <w:rsid w:val="000F1683"/>
    <w:rsid w:val="00344DDC"/>
    <w:rsid w:val="00601CBB"/>
    <w:rsid w:val="008C6DBC"/>
    <w:rsid w:val="00A93B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3B8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93B8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93B86"/>
    <w:rPr>
      <w:sz w:val="18"/>
      <w:szCs w:val="18"/>
    </w:rPr>
  </w:style>
  <w:style w:type="paragraph" w:styleId="a4">
    <w:name w:val="footer"/>
    <w:basedOn w:val="a"/>
    <w:link w:val="Char0"/>
    <w:uiPriority w:val="99"/>
    <w:semiHidden/>
    <w:unhideWhenUsed/>
    <w:rsid w:val="00A93B8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93B8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761</Words>
  <Characters>4339</Characters>
  <Application>Microsoft Office Word</Application>
  <DocSecurity>0</DocSecurity>
  <Lines>36</Lines>
  <Paragraphs>10</Paragraphs>
  <ScaleCrop>false</ScaleCrop>
  <Company>微软中国</Company>
  <LinksUpToDate>false</LinksUpToDate>
  <CharactersWithSpaces>5090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2021-11-04T02:59:00Z</dcterms:created>
  <dcterms:modified xsi:type="dcterms:W3CDTF">2021-11-04T03:04:00Z</dcterms:modified>
</cp:coreProperties>
</file>