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exact"/>
        <w:jc w:val="center"/>
        <w:rPr>
          <w:rFonts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pacing w:val="-17"/>
          <w:sz w:val="44"/>
          <w:szCs w:val="44"/>
        </w:rPr>
        <w:t>西安市临潼区秦岭生态环境保护和综合执法局</w:t>
      </w:r>
      <w:r>
        <w:rPr>
          <w:rFonts w:hint="eastAsia" w:ascii="方正小标宋简体" w:hAnsi="方正小标宋简体" w:eastAsia="方正小标宋简体" w:cs="方正小标宋简体"/>
          <w:sz w:val="44"/>
          <w:szCs w:val="44"/>
        </w:rPr>
        <w:t>2021年法治政府建设工作的总结</w:t>
      </w:r>
    </w:p>
    <w:p>
      <w:pPr>
        <w:rPr>
          <w:rFonts w:ascii="仿宋_GB2312" w:hAnsi="仿宋_GB2312" w:eastAsia="仿宋_GB2312" w:cs="仿宋_GB2312"/>
          <w:sz w:val="32"/>
          <w:szCs w:val="32"/>
        </w:rPr>
      </w:pPr>
    </w:p>
    <w:p>
      <w:pPr>
        <w:spacing w:line="560" w:lineRule="exact"/>
        <w:rPr>
          <w:rFonts w:hint="eastAsia" w:ascii="仿宋_GB2312" w:hAnsi="仿宋_GB2312" w:eastAsia="仿宋_GB2312" w:cs="仿宋_GB2312"/>
          <w:sz w:val="32"/>
          <w:szCs w:val="32"/>
        </w:rPr>
      </w:pPr>
      <w:r>
        <w:rPr>
          <w:rFonts w:hint="eastAsia" w:ascii="仿宋" w:hAnsi="仿宋" w:eastAsia="仿宋"/>
          <w:sz w:val="32"/>
          <w:szCs w:val="32"/>
        </w:rPr>
        <w:t>区委法治办：</w:t>
      </w:r>
      <w:bookmarkStart w:id="0" w:name="_GoBack"/>
      <w:bookmarkEnd w:id="0"/>
    </w:p>
    <w:p>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2021年，区秦岭保护局在区委区政府的坚强领导下，以习近平新时代中国特色社会主义思想为指导，全面贯彻落实党的十九大和十九届五中全会精神，扎实开展法治政府创建，坚持提升法治思维，深入推进依法行政和政务服务工作，现就具体工作总结如下：</w:t>
      </w:r>
    </w:p>
    <w:p>
      <w:pPr>
        <w:jc w:val="left"/>
        <w:rPr>
          <w:rFonts w:ascii="仿宋_GB2312" w:hAnsi="仿宋_GB2312" w:eastAsia="仿宋_GB2312" w:cs="仿宋_GB2312"/>
          <w:b/>
          <w:sz w:val="32"/>
          <w:szCs w:val="32"/>
        </w:rPr>
      </w:pPr>
      <w:r>
        <w:rPr>
          <w:rFonts w:hint="eastAsia" w:ascii="仿宋_GB2312" w:hAnsi="仿宋_GB2312" w:eastAsia="仿宋_GB2312" w:cs="仿宋_GB2312"/>
          <w:b/>
          <w:sz w:val="32"/>
          <w:szCs w:val="32"/>
        </w:rPr>
        <w:t>一、党政主要负责人履行推进法治建设第一责任人职责情况</w:t>
      </w:r>
    </w:p>
    <w:p>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区秦岭保护局主要负责人认真研读《陕西省党政主要负责人履行推进法治建设第一责任人职责实施办法》，带头学习法律，遵守法律，带头执行党的政治纪律、组织纪律、财经纪律、工作纪律，严格按照党纪国法办事，坚持原则，严格遵守廉洁从政各项规定。严格管教配偶、子女、亲属和身边工作人员，如实向组织报告了个人有关事项，没有违规占用办公用房，没有出入私人会所，以严格遵守各项纪律的实际行动，当好了班子和干部的表率。局党政主要负责人担任我局法制工作领导小组组长，积极履行第一责任人职责。运用法治思维和法治方式开展工作，健全各类管理制度，对各项工作严格执行局党组议事规则，坚持科学民主依法决策，加强对领导干部的监督，狠抓行政效能建设，对重点工作、重点项目、重点矛盾能做到亲自部署、亲自协调、亲自督办，确保各项工作都纳入法制化轨道。</w:t>
      </w:r>
    </w:p>
    <w:p>
      <w:pPr>
        <w:numPr>
          <w:ilvl w:val="0"/>
          <w:numId w:val="1"/>
        </w:numPr>
        <w:ind w:firstLine="642" w:firstLineChars="200"/>
        <w:rPr>
          <w:rFonts w:ascii="仿宋_GB2312" w:hAnsi="仿宋_GB2312" w:eastAsia="仿宋_GB2312" w:cs="仿宋_GB2312"/>
          <w:b/>
          <w:bCs/>
          <w:sz w:val="32"/>
          <w:szCs w:val="32"/>
        </w:rPr>
      </w:pPr>
      <w:r>
        <w:rPr>
          <w:rFonts w:hint="eastAsia" w:ascii="仿宋_GB2312" w:hAnsi="仿宋_GB2312" w:eastAsia="仿宋_GB2312" w:cs="仿宋_GB2312"/>
          <w:b/>
          <w:bCs/>
          <w:sz w:val="32"/>
          <w:szCs w:val="32"/>
        </w:rPr>
        <w:t>学习贯彻落实习近平法治思想情况</w:t>
      </w:r>
    </w:p>
    <w:p>
      <w:pPr>
        <w:rPr>
          <w:rFonts w:ascii="仿宋_GB2312" w:hAnsi="仿宋_GB2312" w:eastAsia="仿宋_GB2312" w:cs="仿宋_GB2312"/>
          <w:b/>
          <w:bCs/>
          <w:sz w:val="32"/>
          <w:szCs w:val="32"/>
        </w:rPr>
      </w:pPr>
      <w:r>
        <w:rPr>
          <w:rFonts w:hint="eastAsia" w:ascii="仿宋_GB2312" w:hAnsi="仿宋_GB2312" w:eastAsia="仿宋_GB2312" w:cs="仿宋_GB2312"/>
          <w:sz w:val="32"/>
          <w:szCs w:val="32"/>
        </w:rPr>
        <w:t>我局全面学习贯彻落实习近平法治思想，一是机关全体领导干部于周一局例会固定时间开展学习活动，并要求下属单位层层传达会议精神，组织开展学习活动，营造了尊法、学法、守法、用法的良好氛围。坚持学法制度，学习党的十九大精神和《习近平关于全面依法治国论述摘编》，学习《陕西省秦岭生态环境保护条例》、《中华人民共和国森林法》、《中华人民共和国野生动物保护法》、《森林病虫害防治条例》等与业务相关的法律法规知识，提高行政执法能力。配合司法局，组织执法人员进行行政处罚线上培训，并全部取得合格证书。二是制定依法治区工作方案，明确时间进度、责任部门和责任人，抓好贯彻落实。我局向司法局报送了2021年度学法重点内容计划，印发《2021年普法依法治理工作要点》，并按要点推进依法治理工作。做到年初有计划，年中有督办，年终有总结，为推进林业法治建设工作提供了保障。三是全面推行行政执法“三项制度”，完善部门行政执法事项清单，推进落实统一的行政执法文书基本标准，开展包容审慎执法工作，强化行政执法责任制和责任追究制度。向司法局等单位报送我局行政执法事项清单，在政府网站公示行政执法相关情况，强化执法责任。</w:t>
      </w:r>
    </w:p>
    <w:p>
      <w:pPr>
        <w:numPr>
          <w:ilvl w:val="0"/>
          <w:numId w:val="1"/>
        </w:numPr>
        <w:ind w:firstLine="642" w:firstLineChars="200"/>
        <w:rPr>
          <w:rFonts w:ascii="仿宋_GB2312" w:hAnsi="仿宋_GB2312" w:eastAsia="仿宋_GB2312" w:cs="仿宋_GB2312"/>
          <w:b/>
          <w:bCs/>
          <w:sz w:val="32"/>
          <w:szCs w:val="32"/>
        </w:rPr>
      </w:pPr>
      <w:r>
        <w:rPr>
          <w:rFonts w:hint="eastAsia" w:ascii="仿宋_GB2312" w:hAnsi="仿宋_GB2312" w:eastAsia="仿宋_GB2312" w:cs="仿宋_GB2312"/>
          <w:b/>
          <w:bCs/>
          <w:sz w:val="32"/>
          <w:szCs w:val="32"/>
        </w:rPr>
        <w:t>法治建设工作开展情况</w:t>
      </w:r>
    </w:p>
    <w:p>
      <w:pPr>
        <w:spacing w:line="540" w:lineRule="exact"/>
        <w:ind w:firstLine="640" w:firstLineChars="200"/>
        <w:rPr>
          <w:rFonts w:ascii="仿宋" w:hAnsi="仿宋" w:eastAsia="仿宋"/>
          <w:sz w:val="32"/>
          <w:szCs w:val="32"/>
        </w:rPr>
      </w:pPr>
      <w:r>
        <w:rPr>
          <w:rFonts w:hint="eastAsia" w:ascii="仿宋_GB2312" w:hAnsi="仿宋_GB2312" w:eastAsia="仿宋_GB2312" w:cs="仿宋_GB2312"/>
          <w:sz w:val="32"/>
          <w:szCs w:val="32"/>
        </w:rPr>
        <w:t>（一）强化组织领导，加强监管合力。局党组重视法治建设相关工作，深入贯彻习近平总书记在中央全面依法治国委员会会议上的讲话精神，认真落实区委区府的有关工作部署，结合工作实际，我局多次召开会议，研究部署秦岭保护和林业法治工作，</w:t>
      </w:r>
      <w:r>
        <w:rPr>
          <w:rFonts w:hint="eastAsia" w:ascii="仿宋_GB2312" w:hAnsi="仿宋_GB2312" w:eastAsia="仿宋_GB2312" w:cs="仿宋_GB2312"/>
          <w:snapToGrid w:val="0"/>
          <w:sz w:val="32"/>
          <w:szCs w:val="32"/>
        </w:rPr>
        <w:t>全年区委区政府组织召开会议23次，区委秦保委及其办公室召开会议8次，安排部署秦岭生态环境保护工作，</w:t>
      </w:r>
      <w:r>
        <w:rPr>
          <w:rFonts w:hint="eastAsia" w:ascii="仿宋" w:hAnsi="仿宋" w:eastAsia="仿宋"/>
          <w:sz w:val="32"/>
          <w:szCs w:val="32"/>
        </w:rPr>
        <w:t>开展问题点位“回头看”2次，联合执法检查5次。开展督导检查、巡查检查，坚持街办部门共进，针对难点及违法建设采取部门联合执法，建立问题清单，发函督办，跟踪问效，备案销号。制定印发10多个方案、分工、办法，夯实层级各自责任，做到无漏洞、无死角保护。年内专兼职网格员</w:t>
      </w:r>
      <w:r>
        <w:rPr>
          <w:rFonts w:hint="eastAsia" w:ascii="仿宋_GB2312" w:hAnsi="仿宋_GB2312" w:eastAsia="仿宋_GB2312" w:cs="仿宋_GB2312"/>
          <w:snapToGrid w:val="0"/>
          <w:color w:val="000000"/>
          <w:kern w:val="0"/>
          <w:sz w:val="32"/>
          <w:szCs w:val="32"/>
        </w:rPr>
        <w:t>累计对9个街办巡查检查区域1958处，点位9416个，出动41016人次，巡查34575次，对发现问题全部整治到位。</w:t>
      </w:r>
      <w:r>
        <w:rPr>
          <w:rFonts w:hint="eastAsia" w:ascii="仿宋_GB2312" w:hAnsi="仿宋_GB2312" w:eastAsia="仿宋_GB2312" w:cs="仿宋_GB2312"/>
          <w:snapToGrid w:val="0"/>
          <w:sz w:val="32"/>
          <w:szCs w:val="32"/>
        </w:rPr>
        <w:t>区级各单位开展巡查检查294次，街村召开会议336次，做好各自保护工作。</w:t>
      </w:r>
    </w:p>
    <w:p>
      <w:pPr>
        <w:spacing w:line="540" w:lineRule="exact"/>
        <w:ind w:firstLine="640" w:firstLineChars="200"/>
        <w:rPr>
          <w:rFonts w:ascii="仿宋" w:hAnsi="仿宋" w:eastAsia="仿宋"/>
          <w:sz w:val="32"/>
          <w:szCs w:val="32"/>
        </w:rPr>
      </w:pPr>
      <w:r>
        <w:rPr>
          <w:rFonts w:hint="eastAsia" w:ascii="仿宋" w:hAnsi="仿宋" w:eastAsia="仿宋"/>
          <w:sz w:val="32"/>
          <w:szCs w:val="32"/>
        </w:rPr>
        <w:t>（二）切实做好森林资源保护工作</w:t>
      </w:r>
    </w:p>
    <w:p>
      <w:pPr>
        <w:ind w:firstLine="633" w:firstLineChars="198"/>
        <w:rPr>
          <w:rFonts w:ascii="Times New Roman" w:eastAsia="仿宋_GB2312" w:cs="Times New Roman"/>
          <w:sz w:val="32"/>
          <w:szCs w:val="32"/>
        </w:rPr>
      </w:pPr>
      <w:r>
        <w:rPr>
          <w:rFonts w:hint="eastAsia" w:ascii="仿宋_GB2312" w:hAnsi="仿宋" w:eastAsia="仿宋_GB2312"/>
          <w:sz w:val="32"/>
          <w:szCs w:val="32"/>
        </w:rPr>
        <w:t>一是积极开展各种专项整治行动</w:t>
      </w:r>
      <w:r>
        <w:rPr>
          <w:rFonts w:hint="eastAsia" w:ascii="黑体" w:hAnsi="黑体" w:eastAsia="黑体"/>
          <w:sz w:val="32"/>
          <w:szCs w:val="32"/>
        </w:rPr>
        <w:t>。</w:t>
      </w:r>
      <w:r>
        <w:rPr>
          <w:rFonts w:hint="eastAsia" w:ascii="仿宋_GB2312" w:hAnsi="黑体" w:eastAsia="仿宋_GB2312" w:cs="宋体"/>
          <w:kern w:val="1"/>
          <w:sz w:val="32"/>
          <w:szCs w:val="32"/>
        </w:rPr>
        <w:t>深入辖区渭河两岸湿地、森林公园、野生动物栖息地、候鸟迁徙通道、林区等重点区域，开展了清网清套清夹专项整治行动、依法打击整治破坏秦岭野生动物资源违法犯罪行动，</w:t>
      </w:r>
      <w:r>
        <w:rPr>
          <w:rFonts w:hint="eastAsia" w:ascii="仿宋_GB2312" w:hAnsi="仿宋" w:eastAsia="仿宋_GB2312" w:cs="宋体"/>
          <w:kern w:val="1"/>
          <w:sz w:val="32"/>
          <w:szCs w:val="32"/>
        </w:rPr>
        <w:t>“</w:t>
      </w:r>
      <w:r>
        <w:rPr>
          <w:rFonts w:hint="eastAsia" w:ascii="仿宋" w:hAnsi="仿宋" w:eastAsia="仿宋" w:cs="宋体"/>
          <w:kern w:val="1"/>
          <w:sz w:val="32"/>
          <w:szCs w:val="32"/>
        </w:rPr>
        <w:t>查隐患、破火案”专项行动和“护卫秦岭祖脉”专项行动，共出动警力4078人次，车辆1410台次，巡查面积4954.7公顷，排查、清除森林火灾隐患20处，</w:t>
      </w:r>
      <w:r>
        <w:rPr>
          <w:rFonts w:hint="eastAsia" w:ascii="仿宋_GB2312" w:hAnsi="仿宋" w:eastAsia="仿宋_GB2312"/>
          <w:sz w:val="32"/>
          <w:szCs w:val="32"/>
        </w:rPr>
        <w:t>巡查检查林地湿地、野生动物活动区域48处，</w:t>
      </w:r>
      <w:r>
        <w:rPr>
          <w:rFonts w:hint="eastAsia" w:ascii="仿宋" w:hAnsi="仿宋" w:eastAsia="仿宋" w:cs="宋体"/>
          <w:kern w:val="1"/>
          <w:sz w:val="32"/>
          <w:szCs w:val="32"/>
        </w:rPr>
        <w:t>检查农贸市场2处，</w:t>
      </w:r>
      <w:r>
        <w:rPr>
          <w:rFonts w:hint="eastAsia" w:ascii="仿宋_GB2312" w:hAnsi="仿宋" w:eastAsia="仿宋_GB2312"/>
          <w:sz w:val="32"/>
          <w:szCs w:val="32"/>
        </w:rPr>
        <w:t>农家乐、餐厅71家，</w:t>
      </w:r>
      <w:r>
        <w:rPr>
          <w:rFonts w:hint="eastAsia" w:ascii="仿宋" w:hAnsi="仿宋" w:eastAsia="仿宋" w:cs="宋体"/>
          <w:kern w:val="1"/>
          <w:sz w:val="32"/>
          <w:szCs w:val="32"/>
        </w:rPr>
        <w:t>野生动物养殖场所3处，开展法律法规宣传260次，发放宣传资料2500余份，</w:t>
      </w:r>
      <w:r>
        <w:rPr>
          <w:rFonts w:hint="eastAsia" w:ascii="仿宋_GB2312" w:hAnsi="仿宋" w:eastAsia="仿宋_GB2312"/>
          <w:sz w:val="32"/>
          <w:szCs w:val="32"/>
        </w:rPr>
        <w:t>救助各类陆生野生动物41只，</w:t>
      </w:r>
      <w:r>
        <w:rPr>
          <w:rFonts w:hint="eastAsia" w:ascii="仿宋" w:hAnsi="仿宋" w:eastAsia="仿宋" w:cs="宋体"/>
          <w:kern w:val="1"/>
          <w:sz w:val="32"/>
          <w:szCs w:val="32"/>
        </w:rPr>
        <w:t>放飞放生野生动物20只。未发现猎套、猎夹、电猫、粘网等非法捕猎工具和出售、收购、食用野生动物行为，无破坏野生动物及森林资源违法犯罪行为发生，</w:t>
      </w:r>
      <w:r>
        <w:rPr>
          <w:rFonts w:hint="eastAsia" w:ascii="仿宋" w:hAnsi="仿宋" w:eastAsia="仿宋" w:cs="仿宋"/>
          <w:sz w:val="32"/>
          <w:szCs w:val="32"/>
        </w:rPr>
        <w:t>严厉震慑了各类破坏森林资源的违法犯罪行为，依法保障了我区野生动植物和森林资源安全。</w:t>
      </w:r>
      <w:r>
        <w:rPr>
          <w:rFonts w:hint="eastAsia" w:ascii="仿宋" w:hAnsi="仿宋" w:eastAsia="仿宋" w:cs="仿宋_GB2312"/>
          <w:sz w:val="32"/>
          <w:szCs w:val="32"/>
        </w:rPr>
        <w:t>签发植物检疫证省内</w:t>
      </w:r>
      <w:r>
        <w:rPr>
          <w:rFonts w:ascii="仿宋" w:hAnsi="仿宋" w:eastAsia="仿宋" w:cs="仿宋_GB2312"/>
          <w:sz w:val="32"/>
          <w:szCs w:val="32"/>
        </w:rPr>
        <w:t>22</w:t>
      </w:r>
      <w:r>
        <w:rPr>
          <w:rFonts w:hint="eastAsia" w:ascii="仿宋" w:hAnsi="仿宋" w:eastAsia="仿宋" w:cs="仿宋_GB2312"/>
          <w:sz w:val="32"/>
          <w:szCs w:val="32"/>
        </w:rPr>
        <w:t>份、省外</w:t>
      </w:r>
      <w:r>
        <w:rPr>
          <w:rFonts w:ascii="仿宋" w:hAnsi="仿宋" w:eastAsia="仿宋" w:cs="仿宋_GB2312"/>
          <w:sz w:val="32"/>
          <w:szCs w:val="32"/>
        </w:rPr>
        <w:t>16</w:t>
      </w:r>
      <w:r>
        <w:rPr>
          <w:rFonts w:hint="eastAsia" w:ascii="仿宋" w:hAnsi="仿宋" w:eastAsia="仿宋" w:cs="仿宋_GB2312"/>
          <w:sz w:val="32"/>
          <w:szCs w:val="32"/>
        </w:rPr>
        <w:t>份，产地检疫合格证</w:t>
      </w:r>
      <w:r>
        <w:rPr>
          <w:rFonts w:ascii="仿宋" w:hAnsi="仿宋" w:eastAsia="仿宋" w:cs="仿宋_GB2312"/>
          <w:sz w:val="32"/>
          <w:szCs w:val="32"/>
        </w:rPr>
        <w:t>4</w:t>
      </w:r>
      <w:r>
        <w:rPr>
          <w:rFonts w:hint="eastAsia" w:ascii="仿宋" w:hAnsi="仿宋" w:eastAsia="仿宋" w:cs="仿宋_GB2312"/>
          <w:sz w:val="32"/>
          <w:szCs w:val="32"/>
        </w:rPr>
        <w:t>份，复检</w:t>
      </w:r>
      <w:r>
        <w:rPr>
          <w:rFonts w:ascii="仿宋" w:hAnsi="仿宋" w:eastAsia="仿宋" w:cs="仿宋_GB2312"/>
          <w:sz w:val="32"/>
          <w:szCs w:val="32"/>
        </w:rPr>
        <w:t>112</w:t>
      </w:r>
      <w:r>
        <w:rPr>
          <w:rFonts w:hint="eastAsia" w:ascii="仿宋" w:hAnsi="仿宋" w:eastAsia="仿宋" w:cs="仿宋_GB2312"/>
          <w:sz w:val="32"/>
          <w:szCs w:val="32"/>
        </w:rPr>
        <w:t>车次，复检率达到</w:t>
      </w:r>
      <w:r>
        <w:rPr>
          <w:rFonts w:ascii="仿宋" w:hAnsi="仿宋" w:eastAsia="仿宋" w:cs="仿宋_GB2312"/>
          <w:sz w:val="32"/>
          <w:szCs w:val="32"/>
        </w:rPr>
        <w:t>100%</w:t>
      </w:r>
      <w:r>
        <w:rPr>
          <w:rFonts w:hint="eastAsia" w:ascii="仿宋" w:hAnsi="仿宋" w:eastAsia="仿宋" w:cs="仿宋_GB2312"/>
          <w:sz w:val="32"/>
          <w:szCs w:val="32"/>
        </w:rPr>
        <w:t>。</w:t>
      </w:r>
    </w:p>
    <w:p>
      <w:pPr>
        <w:pStyle w:val="2"/>
        <w:spacing w:line="640" w:lineRule="exact"/>
        <w:ind w:firstLine="640"/>
        <w:rPr>
          <w:rFonts w:ascii="仿宋_GB2312" w:hAnsi="仿宋_GB2312" w:eastAsia="仿宋_GB2312" w:cs="仿宋_GB2312"/>
          <w:sz w:val="32"/>
          <w:szCs w:val="32"/>
        </w:rPr>
      </w:pPr>
      <w:r>
        <w:rPr>
          <w:rFonts w:hint="eastAsia" w:ascii="Times New Roman" w:eastAsia="仿宋_GB2312"/>
          <w:sz w:val="32"/>
          <w:szCs w:val="32"/>
        </w:rPr>
        <w:t>二是做好森林防火工作，设立防火检查站28个，防火监控点20处，防火瞭望哨4个</w:t>
      </w:r>
      <w:r>
        <w:rPr>
          <w:rFonts w:hint="eastAsia" w:ascii="仿宋_GB2312" w:hAnsi="仿宋_GB2312" w:eastAsia="仿宋_GB2312" w:cs="仿宋_GB2312"/>
          <w:sz w:val="32"/>
          <w:szCs w:val="32"/>
        </w:rPr>
        <w:t>，确定防火巡查员159名，持续加大护林防火力度，</w:t>
      </w:r>
      <w:r>
        <w:rPr>
          <w:rFonts w:eastAsia="仿宋_GB2312"/>
          <w:color w:val="000000"/>
          <w:sz w:val="32"/>
          <w:szCs w:val="32"/>
        </w:rPr>
        <w:t>集中开展森林防火宣传月活</w:t>
      </w:r>
      <w:r>
        <w:rPr>
          <w:rFonts w:ascii="仿宋_GB2312" w:hAnsi="仿宋_GB2312" w:eastAsia="仿宋_GB2312" w:cs="仿宋_GB2312"/>
          <w:sz w:val="32"/>
          <w:szCs w:val="32"/>
        </w:rPr>
        <w:t>动</w:t>
      </w:r>
      <w:r>
        <w:rPr>
          <w:rFonts w:hint="eastAsia" w:ascii="仿宋_GB2312" w:hAnsi="仿宋_GB2312" w:eastAsia="仿宋_GB2312" w:cs="仿宋_GB2312"/>
          <w:sz w:val="32"/>
          <w:szCs w:val="32"/>
        </w:rPr>
        <w:t>。共督导森林防火工作32次，开展森林防火业务培训2次，更换防火宣传牌20块，收缴火源1000余个，防火宣传车巡回宣传110次，发放防火宣传资料10000余份。指导街办更换广告牌80块，悬挂横幅22条。</w:t>
      </w:r>
    </w:p>
    <w:p>
      <w:pPr>
        <w:pStyle w:val="2"/>
        <w:spacing w:line="640" w:lineRule="exact"/>
        <w:ind w:firstLine="640"/>
        <w:rPr>
          <w:rFonts w:ascii="Times New Roman" w:hAnsi="Times New Roman" w:eastAsia="仿宋_GB2312"/>
          <w:sz w:val="32"/>
          <w:szCs w:val="32"/>
        </w:rPr>
      </w:pPr>
      <w:r>
        <w:rPr>
          <w:rFonts w:hint="eastAsia" w:ascii="宋体" w:hAnsi="宋体" w:eastAsia="仿宋_GB2312" w:cs="宋体"/>
          <w:sz w:val="32"/>
          <w:szCs w:val="32"/>
        </w:rPr>
        <w:t>三是</w:t>
      </w:r>
      <w:r>
        <w:rPr>
          <w:rFonts w:hint="eastAsia" w:ascii="仿宋_GB2312" w:hAnsi="仿宋_GB2312" w:eastAsia="仿宋_GB2312" w:cs="仿宋_GB2312"/>
          <w:sz w:val="32"/>
          <w:szCs w:val="32"/>
        </w:rPr>
        <w:t>抓好野生动植物专项保护工作，</w:t>
      </w:r>
      <w:r>
        <w:rPr>
          <w:rFonts w:hint="eastAsia" w:ascii="Times New Roman" w:eastAsia="仿宋_GB2312"/>
          <w:sz w:val="32"/>
          <w:szCs w:val="32"/>
        </w:rPr>
        <w:t>成立了以区委书记为组长的专项整治工作领导小组，下设1个工作专班，设立了6个整治工作组，制定了《临潼区打击破坏野生动植物资源违法犯罪专项整治工作实施方案》，召开专题安排部署会，有力打击了破坏野生动植物资源违法犯罪行为</w:t>
      </w:r>
      <w:r>
        <w:rPr>
          <w:rFonts w:hint="eastAsia" w:ascii="Times New Roman" w:hAnsi="Times New Roman" w:eastAsia="仿宋_GB2312"/>
          <w:sz w:val="32"/>
          <w:szCs w:val="32"/>
        </w:rPr>
        <w:t>。</w:t>
      </w:r>
    </w:p>
    <w:p>
      <w:pPr>
        <w:adjustRightInd w:val="0"/>
        <w:snapToGrid w:val="0"/>
        <w:spacing w:line="560" w:lineRule="exact"/>
        <w:ind w:firstLine="640" w:firstLineChars="200"/>
        <w:rPr>
          <w:rFonts w:eastAsia="仿宋_GB2312"/>
          <w:sz w:val="32"/>
          <w:szCs w:val="32"/>
        </w:rPr>
      </w:pPr>
      <w:r>
        <w:rPr>
          <w:rFonts w:hint="eastAsia" w:ascii="Times New Roman" w:hAnsi="Times New Roman" w:eastAsia="仿宋_GB2312" w:cs="Times New Roman"/>
          <w:sz w:val="32"/>
          <w:szCs w:val="32"/>
        </w:rPr>
        <w:t>四是开展森林督查反馈疑似违建影像图斑专项核查整治。</w:t>
      </w:r>
      <w:r>
        <w:rPr>
          <w:rFonts w:hint="eastAsia" w:eastAsia="仿宋_GB2312"/>
          <w:sz w:val="32"/>
          <w:szCs w:val="32"/>
        </w:rPr>
        <w:t>安排专职核查工作小组，对照</w:t>
      </w:r>
      <w:r>
        <w:rPr>
          <w:rFonts w:eastAsia="仿宋_GB2312"/>
          <w:sz w:val="32"/>
          <w:szCs w:val="32"/>
        </w:rPr>
        <w:t>森林督查</w:t>
      </w:r>
      <w:r>
        <w:rPr>
          <w:rFonts w:hint="eastAsia" w:eastAsia="仿宋_GB2312"/>
          <w:sz w:val="32"/>
          <w:szCs w:val="32"/>
        </w:rPr>
        <w:t>反馈</w:t>
      </w:r>
      <w:r>
        <w:rPr>
          <w:rFonts w:eastAsia="仿宋_GB2312"/>
          <w:sz w:val="32"/>
          <w:szCs w:val="32"/>
        </w:rPr>
        <w:t>疑似</w:t>
      </w:r>
      <w:r>
        <w:rPr>
          <w:rFonts w:hint="eastAsia" w:eastAsia="仿宋_GB2312"/>
          <w:sz w:val="32"/>
          <w:szCs w:val="32"/>
        </w:rPr>
        <w:t>违建</w:t>
      </w:r>
      <w:r>
        <w:rPr>
          <w:rFonts w:eastAsia="仿宋_GB2312"/>
          <w:sz w:val="32"/>
          <w:szCs w:val="32"/>
        </w:rPr>
        <w:t>影像图斑，</w:t>
      </w:r>
      <w:r>
        <w:rPr>
          <w:rFonts w:hint="eastAsia" w:eastAsia="仿宋_GB2312"/>
          <w:sz w:val="32"/>
          <w:szCs w:val="32"/>
        </w:rPr>
        <w:t>分组进村实地核查，逐一核准，扎实整治，</w:t>
      </w:r>
      <w:r>
        <w:rPr>
          <w:rFonts w:hint="eastAsia" w:ascii="仿宋" w:hAnsi="仿宋" w:eastAsia="仿宋"/>
          <w:sz w:val="32"/>
          <w:szCs w:val="32"/>
        </w:rPr>
        <w:t>我区49个森林督查和23个打击毁林图斑已于9月18日通过资料进行比对，校验通过，全部提交完毕。</w:t>
      </w:r>
    </w:p>
    <w:p>
      <w:pPr>
        <w:spacing w:line="540" w:lineRule="exact"/>
        <w:ind w:firstLine="640" w:firstLineChars="200"/>
        <w:rPr>
          <w:rFonts w:ascii="仿宋" w:hAnsi="仿宋" w:eastAsia="仿宋"/>
          <w:sz w:val="32"/>
          <w:szCs w:val="32"/>
        </w:rPr>
      </w:pPr>
      <w:r>
        <w:rPr>
          <w:rFonts w:hint="eastAsia" w:ascii="仿宋" w:hAnsi="仿宋" w:eastAsia="仿宋"/>
          <w:sz w:val="32"/>
          <w:szCs w:val="32"/>
        </w:rPr>
        <w:t>（三）全力推动审批监管各项工作</w:t>
      </w:r>
    </w:p>
    <w:p>
      <w:pPr>
        <w:spacing w:line="540" w:lineRule="exact"/>
        <w:ind w:firstLine="640" w:firstLineChars="200"/>
        <w:rPr>
          <w:rFonts w:ascii="Times New Roman" w:hAnsi="Times New Roman" w:eastAsia="仿宋_GB2312" w:cs="仿宋_GB2312"/>
          <w:bCs/>
          <w:sz w:val="32"/>
          <w:szCs w:val="32"/>
        </w:rPr>
      </w:pPr>
      <w:r>
        <w:rPr>
          <w:rFonts w:hint="eastAsia" w:ascii="仿宋" w:hAnsi="仿宋" w:eastAsia="仿宋"/>
          <w:sz w:val="32"/>
          <w:szCs w:val="32"/>
        </w:rPr>
        <w:t>一是落实专人，完成事项重新认领及标准化办事指南信息录入工作，进一步实现我局政务</w:t>
      </w:r>
      <w:r>
        <w:rPr>
          <w:rFonts w:hint="eastAsia" w:ascii="Times New Roman" w:hAnsi="Times New Roman" w:eastAsia="仿宋_GB2312" w:cs="仿宋_GB2312"/>
          <w:bCs/>
          <w:sz w:val="32"/>
          <w:szCs w:val="32"/>
        </w:rPr>
        <w:t>服务事项管理标准化、清单化、科学化。</w:t>
      </w:r>
    </w:p>
    <w:p>
      <w:pPr>
        <w:pBdr>
          <w:bottom w:val="single" w:color="FFFFFF" w:sz="4" w:space="29"/>
        </w:pBdr>
        <w:autoSpaceDE w:val="0"/>
        <w:autoSpaceDN w:val="0"/>
        <w:adjustRightInd w:val="0"/>
        <w:snapToGrid w:val="0"/>
        <w:spacing w:line="580" w:lineRule="exact"/>
        <w:ind w:firstLine="640" w:firstLineChars="200"/>
        <w:textAlignment w:val="baseline"/>
        <w:rPr>
          <w:rFonts w:ascii="Times New Roman" w:hAnsi="Times New Roman" w:eastAsia="仿宋_GB2312" w:cs="仿宋_GB2312"/>
          <w:bCs/>
          <w:sz w:val="32"/>
          <w:szCs w:val="32"/>
        </w:rPr>
      </w:pPr>
      <w:r>
        <w:rPr>
          <w:rFonts w:hint="eastAsia" w:ascii="Times New Roman" w:hAnsi="Times New Roman" w:eastAsia="仿宋_GB2312" w:cs="仿宋_GB2312"/>
          <w:bCs/>
          <w:sz w:val="32"/>
          <w:szCs w:val="32"/>
        </w:rPr>
        <w:t>二是应用省、市政务中控和运行平台，申请账户，梳理、统计、上报已完善事项24项，按要求录入电子印章印模，建立“双公示”信息及台账，报送法人行政许可信息和自然人行政许可信息共43条。</w:t>
      </w:r>
    </w:p>
    <w:p>
      <w:pPr>
        <w:pBdr>
          <w:bottom w:val="single" w:color="FFFFFF" w:sz="4" w:space="29"/>
        </w:pBdr>
        <w:autoSpaceDE w:val="0"/>
        <w:autoSpaceDN w:val="0"/>
        <w:adjustRightInd w:val="0"/>
        <w:snapToGrid w:val="0"/>
        <w:spacing w:line="580" w:lineRule="exact"/>
        <w:ind w:firstLine="640" w:firstLineChars="200"/>
        <w:textAlignment w:val="baseline"/>
        <w:rPr>
          <w:rFonts w:ascii="Times New Roman" w:hAnsi="Times New Roman" w:eastAsia="仿宋_GB2312" w:cs="仿宋_GB2312"/>
          <w:bCs/>
          <w:sz w:val="32"/>
          <w:szCs w:val="32"/>
        </w:rPr>
      </w:pPr>
      <w:r>
        <w:rPr>
          <w:rFonts w:hint="eastAsia" w:ascii="Times New Roman" w:hAnsi="Times New Roman" w:eastAsia="仿宋_GB2312" w:cs="仿宋_GB2312"/>
          <w:bCs/>
          <w:sz w:val="32"/>
          <w:szCs w:val="32"/>
        </w:rPr>
        <w:t>三是落实“证照分离”改革全覆盖及林草种子生产经营许可证核发若干措施，协助区行政审批局现场踏勘3次、完成18项事项的业务手册制作，简化10余项事项办理程序，按照“谁审批谁负责，谁主管谁监管”的原则，落实33项事项监管责任，委托受理古树名木认定、古树名木死亡认定、国家二级保护陆生野生动物特许猎捕证核发初审三个事项。</w:t>
      </w:r>
    </w:p>
    <w:p>
      <w:pPr>
        <w:pBdr>
          <w:bottom w:val="single" w:color="FFFFFF" w:sz="4" w:space="29"/>
        </w:pBdr>
        <w:autoSpaceDE w:val="0"/>
        <w:autoSpaceDN w:val="0"/>
        <w:adjustRightInd w:val="0"/>
        <w:snapToGrid w:val="0"/>
        <w:spacing w:line="580" w:lineRule="exact"/>
        <w:ind w:firstLine="640" w:firstLineChars="200"/>
        <w:textAlignment w:val="baseline"/>
        <w:rPr>
          <w:rFonts w:ascii="Times New Roman" w:hAnsi="Times New Roman" w:eastAsia="仿宋_GB2312" w:cs="仿宋_GB2312"/>
          <w:sz w:val="32"/>
          <w:szCs w:val="32"/>
        </w:rPr>
      </w:pPr>
      <w:r>
        <w:rPr>
          <w:rFonts w:hint="eastAsia" w:ascii="Times New Roman" w:hAnsi="Times New Roman" w:eastAsia="仿宋_GB2312" w:cs="仿宋_GB2312"/>
          <w:bCs/>
          <w:sz w:val="32"/>
          <w:szCs w:val="32"/>
        </w:rPr>
        <w:t>四是</w:t>
      </w:r>
      <w:r>
        <w:rPr>
          <w:rFonts w:hint="eastAsia" w:ascii="Times New Roman" w:hAnsi="Times New Roman" w:eastAsia="仿宋_GB2312" w:cs="仿宋_GB2312"/>
          <w:sz w:val="32"/>
          <w:szCs w:val="32"/>
        </w:rPr>
        <w:t>推进13项“互联网+监管”事项和“一把手坐窗口”活动受到区政府表彰。</w:t>
      </w:r>
    </w:p>
    <w:p>
      <w:pPr>
        <w:numPr>
          <w:ilvl w:val="0"/>
          <w:numId w:val="2"/>
        </w:numPr>
        <w:pBdr>
          <w:bottom w:val="single" w:color="FFFFFF" w:sz="4" w:space="29"/>
        </w:pBdr>
        <w:autoSpaceDE w:val="0"/>
        <w:autoSpaceDN w:val="0"/>
        <w:adjustRightInd w:val="0"/>
        <w:snapToGrid w:val="0"/>
        <w:spacing w:line="580" w:lineRule="exact"/>
        <w:ind w:firstLine="640" w:firstLineChars="200"/>
        <w:textAlignment w:val="baseline"/>
        <w:rPr>
          <w:rFonts w:ascii="仿宋" w:hAnsi="仿宋" w:eastAsia="仿宋"/>
          <w:sz w:val="32"/>
          <w:szCs w:val="32"/>
        </w:rPr>
      </w:pPr>
      <w:r>
        <w:rPr>
          <w:rFonts w:hint="eastAsia" w:ascii="仿宋" w:hAnsi="仿宋" w:eastAsia="仿宋"/>
          <w:sz w:val="32"/>
          <w:szCs w:val="32"/>
        </w:rPr>
        <w:t>广泛开展生态保护宣传活动</w:t>
      </w:r>
    </w:p>
    <w:p>
      <w:pPr>
        <w:pBdr>
          <w:bottom w:val="single" w:color="FFFFFF" w:sz="4" w:space="29"/>
        </w:pBdr>
        <w:autoSpaceDE w:val="0"/>
        <w:autoSpaceDN w:val="0"/>
        <w:adjustRightInd w:val="0"/>
        <w:snapToGrid w:val="0"/>
        <w:spacing w:line="580" w:lineRule="exact"/>
        <w:ind w:firstLine="640" w:firstLineChars="200"/>
        <w:textAlignment w:val="baseline"/>
        <w:rPr>
          <w:rFonts w:ascii="Times New Roman" w:hAnsi="Times New Roman" w:eastAsia="仿宋_GB2312"/>
          <w:snapToGrid w:val="0"/>
          <w:sz w:val="32"/>
          <w:szCs w:val="32"/>
        </w:rPr>
      </w:pPr>
      <w:r>
        <w:rPr>
          <w:rFonts w:hint="eastAsia" w:ascii="仿宋" w:hAnsi="仿宋" w:eastAsia="仿宋"/>
          <w:sz w:val="32"/>
          <w:szCs w:val="32"/>
        </w:rPr>
        <w:t>我们结合“秦岭生态环境保护宣传周</w:t>
      </w:r>
      <w:r>
        <w:rPr>
          <w:rFonts w:hint="eastAsia" w:eastAsia="仿宋_GB2312"/>
          <w:sz w:val="32"/>
          <w:szCs w:val="32"/>
        </w:rPr>
        <w:t>”、</w:t>
      </w:r>
      <w:r>
        <w:rPr>
          <w:rFonts w:hint="eastAsia" w:eastAsia="仿宋_GB2312"/>
          <w:color w:val="000000" w:themeColor="text1"/>
          <w:kern w:val="0"/>
          <w:sz w:val="32"/>
          <w:szCs w:val="32"/>
        </w:rPr>
        <w:t>“西安生态日”、世界“地球日”等主题活动，开展形式多样的宣传活动。</w:t>
      </w:r>
      <w:r>
        <w:rPr>
          <w:rFonts w:hint="eastAsia" w:eastAsia="仿宋_GB2312"/>
          <w:sz w:val="32"/>
          <w:szCs w:val="32"/>
        </w:rPr>
        <w:t>发放省市</w:t>
      </w:r>
      <w:r>
        <w:rPr>
          <w:rFonts w:eastAsia="仿宋_GB2312"/>
          <w:sz w:val="32"/>
          <w:szCs w:val="32"/>
        </w:rPr>
        <w:t>《秦岭生态环境保护条例》</w:t>
      </w:r>
      <w:r>
        <w:rPr>
          <w:rFonts w:hint="eastAsia" w:eastAsia="仿宋_GB2312"/>
          <w:sz w:val="32"/>
          <w:szCs w:val="32"/>
        </w:rPr>
        <w:t>和《秦岭生态环境保护规划》、</w:t>
      </w:r>
      <w:r>
        <w:rPr>
          <w:rFonts w:eastAsia="仿宋_GB2312"/>
          <w:sz w:val="32"/>
          <w:szCs w:val="32"/>
        </w:rPr>
        <w:t>《秦岭生态环境保护倡议书》</w:t>
      </w:r>
      <w:r>
        <w:rPr>
          <w:rFonts w:hint="eastAsia" w:eastAsia="仿宋_GB2312"/>
          <w:sz w:val="32"/>
          <w:szCs w:val="32"/>
        </w:rPr>
        <w:t>等宣传资料，设立</w:t>
      </w:r>
      <w:r>
        <w:rPr>
          <w:rFonts w:hint="eastAsia" w:eastAsia="仿宋_GB2312"/>
          <w:color w:val="000000" w:themeColor="text1"/>
          <w:kern w:val="0"/>
          <w:sz w:val="32"/>
          <w:szCs w:val="32"/>
        </w:rPr>
        <w:t>展板、横幅</w:t>
      </w:r>
      <w:r>
        <w:rPr>
          <w:rFonts w:hint="eastAsia" w:eastAsia="仿宋_GB2312"/>
          <w:sz w:val="32"/>
          <w:szCs w:val="32"/>
        </w:rPr>
        <w:t>，</w:t>
      </w:r>
      <w:r>
        <w:rPr>
          <w:rFonts w:eastAsia="仿宋_GB2312"/>
          <w:sz w:val="32"/>
          <w:szCs w:val="32"/>
        </w:rPr>
        <w:t>组装流动宣传车、组织培训会</w:t>
      </w:r>
      <w:r>
        <w:rPr>
          <w:rFonts w:hint="eastAsia" w:eastAsia="仿宋_GB2312"/>
          <w:sz w:val="32"/>
          <w:szCs w:val="32"/>
        </w:rPr>
        <w:t>，通过</w:t>
      </w:r>
      <w:r>
        <w:rPr>
          <w:rFonts w:ascii="Times New Roman" w:hAnsi="Times New Roman" w:eastAsia="仿宋_GB2312" w:cs="Times New Roman"/>
          <w:color w:val="000000" w:themeColor="text1"/>
          <w:kern w:val="0"/>
          <w:sz w:val="32"/>
          <w:szCs w:val="32"/>
        </w:rPr>
        <w:t>西安电视台、人民日报、学习强国平台《时代先锋》专栏、陕西网、三秦网、西安网等市级以上媒体</w:t>
      </w:r>
      <w:r>
        <w:rPr>
          <w:rFonts w:hint="eastAsia" w:ascii="Times New Roman" w:hAnsi="Times New Roman" w:eastAsia="仿宋_GB2312" w:cs="Times New Roman"/>
          <w:color w:val="000000" w:themeColor="text1"/>
          <w:kern w:val="0"/>
          <w:sz w:val="32"/>
          <w:szCs w:val="32"/>
        </w:rPr>
        <w:t>和</w:t>
      </w:r>
      <w:r>
        <w:rPr>
          <w:rFonts w:ascii="Times New Roman" w:hAnsi="Times New Roman" w:eastAsia="仿宋_GB2312" w:cs="Times New Roman"/>
          <w:color w:val="000000" w:themeColor="text1"/>
          <w:kern w:val="0"/>
          <w:sz w:val="32"/>
          <w:szCs w:val="32"/>
        </w:rPr>
        <w:t>区级媒体、公众号等</w:t>
      </w:r>
      <w:r>
        <w:rPr>
          <w:rFonts w:hint="eastAsia" w:ascii="Times New Roman" w:hAnsi="Times New Roman" w:eastAsia="仿宋_GB2312" w:cs="Times New Roman"/>
          <w:color w:val="000000" w:themeColor="text1"/>
          <w:kern w:val="0"/>
          <w:sz w:val="32"/>
          <w:szCs w:val="32"/>
        </w:rPr>
        <w:t>，深入宣传中央和</w:t>
      </w:r>
      <w:r>
        <w:rPr>
          <w:rFonts w:ascii="Times New Roman" w:hAnsi="Times New Roman" w:eastAsia="仿宋_GB2312" w:cs="Times New Roman"/>
          <w:color w:val="000000" w:themeColor="text1"/>
          <w:kern w:val="0"/>
          <w:sz w:val="32"/>
          <w:szCs w:val="32"/>
        </w:rPr>
        <w:t>省市</w:t>
      </w:r>
      <w:r>
        <w:rPr>
          <w:rFonts w:hint="eastAsia" w:ascii="Times New Roman" w:hAnsi="Times New Roman" w:eastAsia="仿宋_GB2312" w:cs="Times New Roman"/>
          <w:color w:val="000000" w:themeColor="text1"/>
          <w:kern w:val="0"/>
          <w:sz w:val="32"/>
          <w:szCs w:val="32"/>
        </w:rPr>
        <w:t>大政方针，</w:t>
      </w:r>
      <w:r>
        <w:rPr>
          <w:rFonts w:eastAsia="仿宋_GB2312"/>
          <w:color w:val="000000"/>
          <w:sz w:val="32"/>
          <w:szCs w:val="32"/>
        </w:rPr>
        <w:t>组装防火宣传车巡回宣传</w:t>
      </w:r>
      <w:r>
        <w:rPr>
          <w:rFonts w:hint="eastAsia" w:eastAsia="仿宋_GB2312"/>
          <w:color w:val="000000"/>
          <w:sz w:val="32"/>
          <w:szCs w:val="32"/>
        </w:rPr>
        <w:t>，</w:t>
      </w:r>
      <w:r>
        <w:rPr>
          <w:rFonts w:hint="eastAsia" w:eastAsia="仿宋_GB2312"/>
          <w:color w:val="000000" w:themeColor="text1"/>
          <w:kern w:val="0"/>
          <w:sz w:val="32"/>
          <w:szCs w:val="32"/>
        </w:rPr>
        <w:t>影响和带动群众了解政策、领会精神、爱护环境、保护秦岭。</w:t>
      </w:r>
      <w:r>
        <w:rPr>
          <w:rFonts w:hint="eastAsia" w:ascii="仿宋_GB2312" w:hAnsi="仿宋" w:eastAsia="仿宋_GB2312" w:cs="仿宋"/>
          <w:snapToGrid w:val="0"/>
          <w:color w:val="000000"/>
          <w:sz w:val="32"/>
          <w:szCs w:val="32"/>
        </w:rPr>
        <w:t>组织各类宣传活动</w:t>
      </w:r>
      <w:r>
        <w:rPr>
          <w:rFonts w:ascii="Times New Roman" w:hAnsi="Times New Roman" w:eastAsia="仿宋_GB2312"/>
          <w:snapToGrid w:val="0"/>
          <w:color w:val="000000"/>
          <w:sz w:val="32"/>
          <w:szCs w:val="32"/>
        </w:rPr>
        <w:t>5</w:t>
      </w:r>
      <w:r>
        <w:rPr>
          <w:rFonts w:hint="eastAsia" w:ascii="Times New Roman" w:hAnsi="Times New Roman" w:eastAsia="仿宋_GB2312"/>
          <w:snapToGrid w:val="0"/>
          <w:color w:val="000000"/>
          <w:sz w:val="32"/>
          <w:szCs w:val="32"/>
        </w:rPr>
        <w:t>1次，5</w:t>
      </w:r>
      <w:r>
        <w:rPr>
          <w:rFonts w:ascii="Times New Roman" w:hAnsi="Times New Roman" w:eastAsia="仿宋_GB2312"/>
          <w:snapToGrid w:val="0"/>
          <w:color w:val="000000"/>
          <w:sz w:val="32"/>
          <w:szCs w:val="32"/>
        </w:rPr>
        <w:t>次集中宣传，</w:t>
      </w:r>
      <w:r>
        <w:rPr>
          <w:rFonts w:hint="eastAsia" w:ascii="Times New Roman" w:hAnsi="Times New Roman" w:eastAsia="仿宋_GB2312"/>
          <w:snapToGrid w:val="0"/>
          <w:color w:val="000000"/>
          <w:sz w:val="32"/>
          <w:szCs w:val="32"/>
        </w:rPr>
        <w:t>共</w:t>
      </w:r>
      <w:r>
        <w:rPr>
          <w:rFonts w:ascii="Times New Roman" w:hAnsi="Times New Roman" w:eastAsia="仿宋_GB2312"/>
          <w:snapToGrid w:val="0"/>
          <w:sz w:val="32"/>
          <w:szCs w:val="32"/>
        </w:rPr>
        <w:t>发放省市</w:t>
      </w:r>
      <w:r>
        <w:rPr>
          <w:rFonts w:hint="eastAsia" w:ascii="Times New Roman" w:hAnsi="Times New Roman" w:eastAsia="仿宋_GB2312"/>
          <w:snapToGrid w:val="0"/>
          <w:sz w:val="32"/>
          <w:szCs w:val="32"/>
        </w:rPr>
        <w:t>《</w:t>
      </w:r>
      <w:r>
        <w:rPr>
          <w:rFonts w:ascii="Times New Roman" w:hAnsi="Times New Roman" w:eastAsia="仿宋_GB2312"/>
          <w:snapToGrid w:val="0"/>
          <w:sz w:val="32"/>
          <w:szCs w:val="32"/>
        </w:rPr>
        <w:t>条例</w:t>
      </w:r>
      <w:r>
        <w:rPr>
          <w:rFonts w:hint="eastAsia" w:ascii="Times New Roman" w:hAnsi="Times New Roman" w:eastAsia="仿宋_GB2312"/>
          <w:snapToGrid w:val="0"/>
          <w:sz w:val="32"/>
          <w:szCs w:val="32"/>
        </w:rPr>
        <w:t>》</w:t>
      </w:r>
      <w:r>
        <w:rPr>
          <w:rFonts w:ascii="Times New Roman" w:hAnsi="Times New Roman" w:eastAsia="仿宋_GB2312"/>
          <w:snapToGrid w:val="0"/>
          <w:sz w:val="32"/>
          <w:szCs w:val="32"/>
        </w:rPr>
        <w:t>、倡议书、宣传手册</w:t>
      </w:r>
      <w:r>
        <w:rPr>
          <w:rFonts w:hint="eastAsia" w:ascii="Times New Roman" w:hAnsi="Times New Roman" w:eastAsia="仿宋_GB2312"/>
          <w:snapToGrid w:val="0"/>
          <w:sz w:val="32"/>
          <w:szCs w:val="32"/>
        </w:rPr>
        <w:t>等</w:t>
      </w:r>
      <w:r>
        <w:rPr>
          <w:rFonts w:ascii="Times New Roman" w:hAnsi="Times New Roman" w:eastAsia="仿宋_GB2312"/>
          <w:snapToGrid w:val="0"/>
          <w:sz w:val="32"/>
          <w:szCs w:val="32"/>
        </w:rPr>
        <w:t>各类资料46</w:t>
      </w:r>
      <w:r>
        <w:rPr>
          <w:rFonts w:hint="eastAsia" w:ascii="Times New Roman" w:hAnsi="Times New Roman" w:eastAsia="仿宋_GB2312"/>
          <w:snapToGrid w:val="0"/>
          <w:sz w:val="32"/>
          <w:szCs w:val="32"/>
        </w:rPr>
        <w:t>8</w:t>
      </w:r>
      <w:r>
        <w:rPr>
          <w:rFonts w:ascii="Times New Roman" w:hAnsi="Times New Roman" w:eastAsia="仿宋_GB2312"/>
          <w:snapToGrid w:val="0"/>
          <w:sz w:val="32"/>
          <w:szCs w:val="32"/>
        </w:rPr>
        <w:t>30余份，手提袋3000个</w:t>
      </w:r>
      <w:r>
        <w:rPr>
          <w:rFonts w:hint="eastAsia" w:ascii="Times New Roman" w:hAnsi="Times New Roman" w:eastAsia="仿宋_GB2312"/>
          <w:snapToGrid w:val="0"/>
          <w:sz w:val="32"/>
          <w:szCs w:val="32"/>
        </w:rPr>
        <w:t>。</w:t>
      </w:r>
      <w:r>
        <w:rPr>
          <w:rFonts w:ascii="Times New Roman" w:hAnsi="Times New Roman" w:eastAsia="仿宋_GB2312"/>
          <w:snapToGrid w:val="0"/>
          <w:sz w:val="32"/>
          <w:szCs w:val="32"/>
        </w:rPr>
        <w:t>组装宣传车11台，巡回播放宣传语音</w:t>
      </w:r>
      <w:r>
        <w:rPr>
          <w:rFonts w:hint="eastAsia" w:ascii="Times New Roman" w:hAnsi="Times New Roman" w:eastAsia="仿宋_GB2312"/>
          <w:snapToGrid w:val="0"/>
          <w:sz w:val="32"/>
          <w:szCs w:val="32"/>
        </w:rPr>
        <w:t>21</w:t>
      </w:r>
      <w:r>
        <w:rPr>
          <w:rFonts w:ascii="Times New Roman" w:hAnsi="Times New Roman" w:eastAsia="仿宋_GB2312"/>
          <w:snapToGrid w:val="0"/>
          <w:sz w:val="32"/>
          <w:szCs w:val="32"/>
        </w:rPr>
        <w:t>30余次，专兼职网格员</w:t>
      </w:r>
      <w:r>
        <w:rPr>
          <w:rFonts w:hint="eastAsia" w:ascii="Times New Roman" w:hAnsi="Times New Roman" w:eastAsia="仿宋_GB2312"/>
          <w:snapToGrid w:val="0"/>
          <w:sz w:val="32"/>
          <w:szCs w:val="32"/>
        </w:rPr>
        <w:t>日常</w:t>
      </w:r>
      <w:r>
        <w:rPr>
          <w:rFonts w:ascii="Times New Roman" w:hAnsi="Times New Roman" w:eastAsia="仿宋_GB2312"/>
          <w:snapToGrid w:val="0"/>
          <w:sz w:val="32"/>
          <w:szCs w:val="32"/>
        </w:rPr>
        <w:t>巡查检查期间向群众宣讲《条例》3</w:t>
      </w:r>
      <w:r>
        <w:rPr>
          <w:rFonts w:hint="eastAsia" w:ascii="Times New Roman" w:hAnsi="Times New Roman" w:eastAsia="仿宋_GB2312"/>
          <w:snapToGrid w:val="0"/>
          <w:sz w:val="32"/>
          <w:szCs w:val="32"/>
        </w:rPr>
        <w:t>48</w:t>
      </w:r>
      <w:r>
        <w:rPr>
          <w:rFonts w:ascii="Times New Roman" w:hAnsi="Times New Roman" w:eastAsia="仿宋_GB2312"/>
          <w:snapToGrid w:val="0"/>
          <w:sz w:val="32"/>
          <w:szCs w:val="32"/>
        </w:rPr>
        <w:t>0余次</w:t>
      </w:r>
      <w:r>
        <w:rPr>
          <w:rFonts w:hint="eastAsia" w:ascii="Times New Roman" w:hAnsi="Times New Roman" w:eastAsia="仿宋_GB2312"/>
          <w:snapToGrid w:val="0"/>
          <w:sz w:val="32"/>
          <w:szCs w:val="32"/>
        </w:rPr>
        <w:t>，</w:t>
      </w:r>
      <w:r>
        <w:rPr>
          <w:rFonts w:ascii="Times New Roman" w:hAnsi="Times New Roman" w:eastAsia="仿宋_GB2312"/>
          <w:snapToGrid w:val="0"/>
          <w:sz w:val="32"/>
          <w:szCs w:val="32"/>
        </w:rPr>
        <w:t>在省秦岭生态保护网站上发布信息</w:t>
      </w:r>
      <w:r>
        <w:rPr>
          <w:rFonts w:hint="eastAsia" w:ascii="Times New Roman" w:hAnsi="Times New Roman" w:eastAsia="仿宋_GB2312"/>
          <w:snapToGrid w:val="0"/>
          <w:sz w:val="32"/>
          <w:szCs w:val="32"/>
        </w:rPr>
        <w:t>19</w:t>
      </w:r>
      <w:r>
        <w:rPr>
          <w:rFonts w:ascii="Times New Roman" w:hAnsi="Times New Roman" w:eastAsia="仿宋_GB2312"/>
          <w:snapToGrid w:val="0"/>
          <w:sz w:val="32"/>
          <w:szCs w:val="32"/>
        </w:rPr>
        <w:t>条。</w:t>
      </w:r>
      <w:r>
        <w:rPr>
          <w:rFonts w:hint="eastAsia" w:ascii="Times New Roman" w:hAnsi="Times New Roman" w:eastAsia="仿宋_GB2312"/>
          <w:snapToGrid w:val="0"/>
          <w:sz w:val="32"/>
          <w:szCs w:val="32"/>
        </w:rPr>
        <w:t>召开了5次</w:t>
      </w:r>
      <w:r>
        <w:rPr>
          <w:rFonts w:hint="eastAsia" w:ascii="仿宋_GB2312" w:hAnsi="仿宋_GB2312" w:eastAsia="仿宋_GB2312" w:cs="仿宋_GB2312"/>
          <w:snapToGrid w:val="0"/>
          <w:sz w:val="32"/>
          <w:szCs w:val="32"/>
        </w:rPr>
        <w:t>网格化管理工作培训会，</w:t>
      </w:r>
      <w:r>
        <w:rPr>
          <w:rFonts w:hint="eastAsia" w:ascii="Times New Roman" w:hAnsi="Times New Roman" w:eastAsia="仿宋_GB2312"/>
          <w:snapToGrid w:val="0"/>
          <w:sz w:val="32"/>
          <w:szCs w:val="32"/>
        </w:rPr>
        <w:t>对网格员进行业务培训。在</w:t>
      </w:r>
      <w:r>
        <w:rPr>
          <w:rFonts w:ascii="Times New Roman" w:hAnsi="Times New Roman" w:eastAsia="仿宋_GB2312"/>
          <w:snapToGrid w:val="0"/>
          <w:kern w:val="0"/>
          <w:sz w:val="32"/>
          <w:szCs w:val="32"/>
        </w:rPr>
        <w:t>陕西日报、华商报、学习强国等媒体</w:t>
      </w:r>
      <w:r>
        <w:rPr>
          <w:rFonts w:hint="eastAsia" w:ascii="Times New Roman" w:hAnsi="Times New Roman" w:eastAsia="仿宋_GB2312"/>
          <w:snapToGrid w:val="0"/>
          <w:kern w:val="0"/>
          <w:sz w:val="32"/>
          <w:szCs w:val="32"/>
        </w:rPr>
        <w:t>宣传报道</w:t>
      </w:r>
      <w:r>
        <w:rPr>
          <w:rFonts w:ascii="Times New Roman" w:hAnsi="Times New Roman" w:eastAsia="仿宋_GB2312"/>
          <w:snapToGrid w:val="0"/>
          <w:kern w:val="0"/>
          <w:sz w:val="32"/>
          <w:szCs w:val="32"/>
        </w:rPr>
        <w:t>秦岭保护工作1</w:t>
      </w:r>
      <w:r>
        <w:rPr>
          <w:rFonts w:hint="eastAsia" w:ascii="Times New Roman" w:hAnsi="Times New Roman" w:eastAsia="仿宋_GB2312"/>
          <w:snapToGrid w:val="0"/>
          <w:kern w:val="0"/>
          <w:sz w:val="32"/>
          <w:szCs w:val="32"/>
        </w:rPr>
        <w:t>6</w:t>
      </w:r>
      <w:r>
        <w:rPr>
          <w:rFonts w:ascii="Times New Roman" w:hAnsi="Times New Roman" w:eastAsia="仿宋_GB2312"/>
          <w:snapToGrid w:val="0"/>
          <w:kern w:val="0"/>
          <w:sz w:val="32"/>
          <w:szCs w:val="32"/>
        </w:rPr>
        <w:t>次</w:t>
      </w:r>
      <w:r>
        <w:rPr>
          <w:rFonts w:hint="eastAsia" w:ascii="Times New Roman" w:hAnsi="Times New Roman" w:eastAsia="仿宋_GB2312"/>
          <w:snapToGrid w:val="0"/>
          <w:kern w:val="0"/>
          <w:sz w:val="32"/>
          <w:szCs w:val="32"/>
        </w:rPr>
        <w:t>。</w:t>
      </w:r>
      <w:r>
        <w:rPr>
          <w:rFonts w:hint="eastAsia" w:ascii="仿宋_GB2312" w:hAnsi="仿宋_GB2312" w:eastAsia="仿宋_GB2312" w:cs="仿宋_GB2312"/>
          <w:snapToGrid w:val="0"/>
          <w:sz w:val="32"/>
          <w:szCs w:val="32"/>
        </w:rPr>
        <w:t>开展《条例》进机关、进社区、进学校、进村庄、进企业“五进”活动，鼓励社会组</w:t>
      </w:r>
      <w:r>
        <w:rPr>
          <w:rFonts w:hint="eastAsia" w:ascii="Times New Roman" w:hAnsi="Times New Roman" w:eastAsia="仿宋_GB2312"/>
          <w:snapToGrid w:val="0"/>
          <w:sz w:val="32"/>
          <w:szCs w:val="32"/>
        </w:rPr>
        <w:t>织和辖区群众依法参与秦岭生态环境保护活动，营造了保护秦岭生态环境的浓厚氛围。</w:t>
      </w:r>
    </w:p>
    <w:p>
      <w:pPr>
        <w:pBdr>
          <w:bottom w:val="single" w:color="FFFFFF" w:sz="4" w:space="29"/>
        </w:pBdr>
        <w:autoSpaceDE w:val="0"/>
        <w:autoSpaceDN w:val="0"/>
        <w:adjustRightInd w:val="0"/>
        <w:snapToGrid w:val="0"/>
        <w:spacing w:line="580" w:lineRule="exact"/>
        <w:ind w:firstLine="642" w:firstLineChars="200"/>
        <w:textAlignment w:val="baseline"/>
        <w:rPr>
          <w:rFonts w:ascii="Times New Roman" w:hAnsi="Times New Roman" w:eastAsia="仿宋_GB2312"/>
          <w:b/>
          <w:bCs/>
          <w:snapToGrid w:val="0"/>
          <w:sz w:val="32"/>
          <w:szCs w:val="32"/>
        </w:rPr>
      </w:pPr>
      <w:r>
        <w:rPr>
          <w:rFonts w:hint="eastAsia" w:ascii="Times New Roman" w:hAnsi="Times New Roman" w:eastAsia="仿宋_GB2312"/>
          <w:b/>
          <w:bCs/>
          <w:snapToGrid w:val="0"/>
          <w:sz w:val="32"/>
          <w:szCs w:val="32"/>
        </w:rPr>
        <w:t>四、工作亮点</w:t>
      </w:r>
    </w:p>
    <w:p>
      <w:pPr>
        <w:pBdr>
          <w:bottom w:val="single" w:color="FFFFFF" w:sz="4" w:space="29"/>
        </w:pBdr>
        <w:autoSpaceDE w:val="0"/>
        <w:autoSpaceDN w:val="0"/>
        <w:adjustRightInd w:val="0"/>
        <w:snapToGrid w:val="0"/>
        <w:spacing w:line="580" w:lineRule="exact"/>
        <w:ind w:firstLine="640" w:firstLineChars="200"/>
        <w:textAlignment w:val="baseline"/>
        <w:rPr>
          <w:rFonts w:ascii="仿宋" w:hAnsi="仿宋" w:eastAsia="仿宋"/>
          <w:sz w:val="32"/>
          <w:szCs w:val="32"/>
        </w:rPr>
      </w:pPr>
      <w:r>
        <w:rPr>
          <w:rFonts w:hint="eastAsia" w:ascii="仿宋" w:hAnsi="仿宋" w:eastAsia="仿宋"/>
          <w:sz w:val="32"/>
          <w:szCs w:val="32"/>
        </w:rPr>
        <w:t>采用智慧化秦岭管控手段开展巡查检查，我们率先在全省实现无人机监控与“智慧秦岭”管控中心实时对话。</w:t>
      </w:r>
      <w:r>
        <w:rPr>
          <w:rFonts w:hint="eastAsia" w:ascii="仿宋" w:hAnsi="仿宋" w:eastAsia="仿宋" w:cs="Times New Roman"/>
          <w:sz w:val="32"/>
          <w:szCs w:val="32"/>
        </w:rPr>
        <w:t>我区配备无人机11架，成立无人机飞行分队，按照巡护计划，每天对保护区进行空中拉网巡查，并拍摄高清图像，由专人负责，定期比对图片，看是否发生变化，及时甄別处理。</w:t>
      </w:r>
      <w:r>
        <w:rPr>
          <w:rFonts w:hint="eastAsia" w:ascii="仿宋_GB2312" w:hAnsi="仿宋_GB2312" w:eastAsia="仿宋_GB2312" w:cs="仿宋_GB2312"/>
          <w:snapToGrid w:val="0"/>
          <w:color w:val="000000"/>
          <w:sz w:val="32"/>
          <w:szCs w:val="32"/>
        </w:rPr>
        <w:t>利用无人机巡查</w:t>
      </w:r>
      <w:r>
        <w:rPr>
          <w:rFonts w:hint="eastAsia" w:ascii="仿宋" w:hAnsi="仿宋" w:eastAsia="仿宋"/>
          <w:sz w:val="32"/>
          <w:szCs w:val="32"/>
        </w:rPr>
        <w:t>对保护区域内108个点位巡查422</w:t>
      </w:r>
      <w:r>
        <w:rPr>
          <w:rFonts w:hint="eastAsia" w:ascii="仿宋_GB2312" w:hAnsi="仿宋_GB2312" w:eastAsia="仿宋_GB2312" w:cs="仿宋_GB2312"/>
          <w:snapToGrid w:val="0"/>
          <w:color w:val="000000"/>
          <w:sz w:val="32"/>
          <w:szCs w:val="32"/>
        </w:rPr>
        <w:t>次200余小时，空中喊话223次，制止果农点火8次，并及时制止游人抽咽、乱扔垃圾行为。通过“智慧秦岭”管控中心</w:t>
      </w:r>
      <w:r>
        <w:rPr>
          <w:rFonts w:hint="eastAsia" w:ascii="仿宋" w:hAnsi="仿宋" w:eastAsia="仿宋"/>
          <w:sz w:val="32"/>
          <w:szCs w:val="32"/>
        </w:rPr>
        <w:t>累计抽查702次，</w:t>
      </w:r>
      <w:r>
        <w:rPr>
          <w:rFonts w:hint="eastAsia" w:ascii="仿宋_GB2312" w:eastAsia="仿宋_GB2312"/>
          <w:color w:val="000000"/>
          <w:sz w:val="32"/>
          <w:szCs w:val="32"/>
        </w:rPr>
        <w:t>对各级网格员进行电话抽查513次</w:t>
      </w:r>
      <w:r>
        <w:rPr>
          <w:rFonts w:hint="eastAsia" w:ascii="仿宋" w:hAnsi="仿宋" w:eastAsia="仿宋"/>
          <w:sz w:val="32"/>
          <w:szCs w:val="32"/>
        </w:rPr>
        <w:t>，确保工作日内秦岭卫士上线率100%。专项巡查</w:t>
      </w:r>
      <w:r>
        <w:rPr>
          <w:rFonts w:hint="eastAsia" w:ascii="仿宋_GB2312" w:hAnsi="??_GB2312" w:eastAsia="仿宋_GB2312"/>
          <w:color w:val="000000"/>
          <w:sz w:val="32"/>
          <w:szCs w:val="32"/>
        </w:rPr>
        <w:t>发现</w:t>
      </w:r>
      <w:r>
        <w:rPr>
          <w:rFonts w:hint="eastAsia" w:ascii="仿宋" w:hAnsi="仿宋" w:eastAsia="仿宋"/>
          <w:sz w:val="32"/>
          <w:szCs w:val="32"/>
        </w:rPr>
        <w:t>“五乱”问题</w:t>
      </w:r>
      <w:r>
        <w:rPr>
          <w:rFonts w:hint="eastAsia" w:ascii="仿宋_GB2312" w:hAnsi="??_GB2312" w:eastAsia="仿宋_GB2312"/>
          <w:color w:val="000000"/>
          <w:sz w:val="32"/>
          <w:szCs w:val="32"/>
        </w:rPr>
        <w:t>210例（其中乱排乱放23例，其他影响生态环境问题187例），现均已处理完毕。</w:t>
      </w:r>
      <w:r>
        <w:rPr>
          <w:rFonts w:hint="eastAsia" w:ascii="仿宋_GB2312" w:hAnsi="仿宋_GB2312" w:eastAsia="仿宋_GB2312" w:cs="仿宋_GB2312"/>
          <w:snapToGrid w:val="0"/>
          <w:sz w:val="32"/>
          <w:szCs w:val="32"/>
        </w:rPr>
        <w:t>2021年重点工作中，秦岭保护网格化管理工作成绩突出，2021年一季度、二季度、</w:t>
      </w:r>
      <w:r>
        <w:rPr>
          <w:rFonts w:hint="eastAsia" w:ascii="Times New Roman" w:hAnsi="Times New Roman" w:eastAsia="仿宋_GB2312" w:cs="Times New Roman"/>
          <w:bCs/>
          <w:sz w:val="32"/>
          <w:szCs w:val="32"/>
        </w:rPr>
        <w:t>三季度</w:t>
      </w:r>
      <w:r>
        <w:rPr>
          <w:rFonts w:ascii="Times New Roman" w:hAnsi="Times New Roman" w:eastAsia="仿宋_GB2312" w:cs="Times New Roman"/>
          <w:bCs/>
          <w:sz w:val="32"/>
          <w:szCs w:val="32"/>
        </w:rPr>
        <w:t>，我区秦岭生态环境保护网格化管理工作在全</w:t>
      </w:r>
      <w:r>
        <w:rPr>
          <w:rFonts w:hint="eastAsia" w:ascii="仿宋_GB2312" w:hAnsi="仿宋_GB2312" w:eastAsia="仿宋_GB2312" w:cs="仿宋_GB2312"/>
          <w:bCs/>
          <w:sz w:val="32"/>
          <w:szCs w:val="32"/>
        </w:rPr>
        <w:t>市考核中分别位列第二名、第一名、第一名，获得奖励资金41.7万元。</w:t>
      </w:r>
      <w:r>
        <w:rPr>
          <w:rFonts w:ascii="Times New Roman" w:hAnsi="Times New Roman" w:eastAsia="仿宋_GB2312" w:cs="Times New Roman"/>
          <w:color w:val="000000" w:themeColor="text1"/>
          <w:kern w:val="0"/>
          <w:sz w:val="32"/>
          <w:szCs w:val="32"/>
        </w:rPr>
        <w:t>在全省、全市受到广泛关注，渭南市、汉中市秦岭办先后组织人员到我区参观学习，</w:t>
      </w:r>
      <w:r>
        <w:rPr>
          <w:rFonts w:ascii="Times New Roman" w:hAnsi="Times New Roman" w:eastAsia="仿宋_GB2312" w:cs="Times New Roman"/>
          <w:color w:val="000000"/>
          <w:sz w:val="32"/>
          <w:szCs w:val="32"/>
        </w:rPr>
        <w:t>周至县、</w:t>
      </w:r>
      <w:r>
        <w:rPr>
          <w:rFonts w:hint="eastAsia" w:ascii="仿宋_GB2312" w:hAnsi="??_GB2312" w:eastAsia="仿宋_GB2312"/>
          <w:color w:val="000000"/>
          <w:sz w:val="32"/>
          <w:szCs w:val="32"/>
        </w:rPr>
        <w:t>鄠邑区、高新区、</w:t>
      </w:r>
      <w:r>
        <w:rPr>
          <w:rFonts w:ascii="Times New Roman" w:hAnsi="Times New Roman" w:eastAsia="仿宋_GB2312" w:cs="Times New Roman"/>
          <w:color w:val="000000"/>
          <w:sz w:val="32"/>
          <w:szCs w:val="32"/>
        </w:rPr>
        <w:t>蓝田航空</w:t>
      </w:r>
      <w:r>
        <w:rPr>
          <w:rFonts w:hint="eastAsia" w:ascii="仿宋_GB2312" w:hAnsi="??_GB2312" w:eastAsia="仿宋_GB2312"/>
          <w:color w:val="000000"/>
          <w:sz w:val="32"/>
          <w:szCs w:val="32"/>
        </w:rPr>
        <w:t>（通航）产业园和</w:t>
      </w:r>
      <w:r>
        <w:rPr>
          <w:rFonts w:ascii="Times New Roman" w:hAnsi="Times New Roman" w:eastAsia="仿宋_GB2312" w:cs="Times New Roman"/>
          <w:color w:val="000000"/>
          <w:sz w:val="32"/>
          <w:szCs w:val="32"/>
        </w:rPr>
        <w:t>西安市大数据局</w:t>
      </w:r>
      <w:r>
        <w:rPr>
          <w:rFonts w:hint="eastAsia" w:ascii="Times New Roman" w:hAnsi="Times New Roman" w:eastAsia="仿宋_GB2312" w:cs="Times New Roman"/>
          <w:color w:val="000000"/>
          <w:sz w:val="32"/>
          <w:szCs w:val="32"/>
        </w:rPr>
        <w:t>先后</w:t>
      </w:r>
      <w:r>
        <w:rPr>
          <w:rFonts w:hint="eastAsia" w:ascii="仿宋_GB2312" w:hAnsi="??_GB2312" w:eastAsia="仿宋_GB2312"/>
          <w:color w:val="000000"/>
          <w:sz w:val="32"/>
          <w:szCs w:val="32"/>
        </w:rPr>
        <w:t>到我区调研交流“智慧秦岭”管控指挥中心及无人机空中巡查对秦岭保护的作用。</w:t>
      </w:r>
    </w:p>
    <w:p>
      <w:pPr>
        <w:pBdr>
          <w:bottom w:val="single" w:color="FFFFFF" w:sz="4" w:space="29"/>
        </w:pBdr>
        <w:autoSpaceDE w:val="0"/>
        <w:autoSpaceDN w:val="0"/>
        <w:adjustRightInd w:val="0"/>
        <w:snapToGrid w:val="0"/>
        <w:spacing w:line="580" w:lineRule="exact"/>
        <w:ind w:firstLine="642" w:firstLineChars="200"/>
        <w:textAlignment w:val="baseline"/>
        <w:rPr>
          <w:rFonts w:ascii="Times New Roman" w:hAnsi="Times New Roman" w:eastAsia="仿宋_GB2312"/>
          <w:b/>
          <w:bCs/>
          <w:snapToGrid w:val="0"/>
          <w:sz w:val="32"/>
          <w:szCs w:val="32"/>
        </w:rPr>
      </w:pPr>
      <w:r>
        <w:rPr>
          <w:rFonts w:hint="eastAsia" w:ascii="仿宋_GB2312" w:hAnsi="仿宋_GB2312" w:eastAsia="仿宋_GB2312" w:cs="仿宋_GB2312"/>
          <w:b/>
          <w:bCs/>
          <w:snapToGrid w:val="0"/>
          <w:sz w:val="32"/>
          <w:szCs w:val="32"/>
        </w:rPr>
        <w:t>五、存在问题及2022年工作计</w:t>
      </w:r>
      <w:r>
        <w:rPr>
          <w:rFonts w:hint="eastAsia" w:ascii="Times New Roman" w:hAnsi="Times New Roman" w:eastAsia="仿宋_GB2312"/>
          <w:b/>
          <w:bCs/>
          <w:snapToGrid w:val="0"/>
          <w:sz w:val="32"/>
          <w:szCs w:val="32"/>
        </w:rPr>
        <w:t>划</w:t>
      </w:r>
    </w:p>
    <w:p>
      <w:pPr>
        <w:pBdr>
          <w:bottom w:val="single" w:color="FFFFFF" w:sz="4" w:space="29"/>
        </w:pBdr>
        <w:autoSpaceDE w:val="0"/>
        <w:autoSpaceDN w:val="0"/>
        <w:adjustRightInd w:val="0"/>
        <w:snapToGrid w:val="0"/>
        <w:spacing w:line="580" w:lineRule="exact"/>
        <w:ind w:firstLine="640" w:firstLineChars="200"/>
        <w:textAlignment w:val="baseline"/>
        <w:rPr>
          <w:rFonts w:ascii="仿宋_GB2312" w:hAnsi="仿宋_GB2312" w:eastAsia="仿宋_GB2312" w:cs="仿宋_GB2312"/>
          <w:sz w:val="32"/>
          <w:szCs w:val="32"/>
        </w:rPr>
      </w:pPr>
      <w:r>
        <w:rPr>
          <w:rFonts w:hint="eastAsia" w:ascii="仿宋_GB2312" w:hAnsi="仿宋_GB2312" w:eastAsia="仿宋_GB2312" w:cs="仿宋_GB2312"/>
          <w:sz w:val="32"/>
          <w:szCs w:val="32"/>
        </w:rPr>
        <w:t>2021年，我局在全面依法治区工作中虽然取得了一定成绩，但是与上级的要求还存在一定差距，一是法制理论学习有待加强；二是信息沟通有待提高。</w:t>
      </w:r>
    </w:p>
    <w:p>
      <w:pPr>
        <w:pBdr>
          <w:bottom w:val="single" w:color="FFFFFF" w:sz="4" w:space="29"/>
        </w:pBdr>
        <w:autoSpaceDE w:val="0"/>
        <w:autoSpaceDN w:val="0"/>
        <w:adjustRightInd w:val="0"/>
        <w:snapToGrid w:val="0"/>
        <w:spacing w:line="580" w:lineRule="exact"/>
        <w:ind w:firstLine="640" w:firstLineChars="200"/>
        <w:textAlignment w:val="baseline"/>
        <w:rPr>
          <w:rFonts w:ascii="仿宋_GB2312" w:hAnsi="仿宋_GB2312" w:eastAsia="仿宋_GB2312" w:cs="仿宋_GB2312"/>
          <w:sz w:val="32"/>
          <w:szCs w:val="32"/>
        </w:rPr>
      </w:pPr>
      <w:r>
        <w:rPr>
          <w:rFonts w:hint="eastAsia" w:ascii="仿宋_GB2312" w:hAnsi="仿宋_GB2312" w:eastAsia="仿宋_GB2312" w:cs="仿宋_GB2312"/>
          <w:sz w:val="32"/>
          <w:szCs w:val="32"/>
        </w:rPr>
        <w:t>为进一步做好林业法制体系建设，提高林业干部政治站位，发挥林业干部勇于担当，敢于创新的工作态度，我局将继续保持高度的责任感、使命感，针对之前工作中存在的问题和不足，及时查漏补缺，认真总结经验，紧密联系林业发展实际，扎实推进林业法治建设。</w:t>
      </w:r>
    </w:p>
    <w:p>
      <w:pPr>
        <w:pBdr>
          <w:bottom w:val="single" w:color="FFFFFF" w:sz="4" w:space="29"/>
        </w:pBdr>
        <w:autoSpaceDE w:val="0"/>
        <w:autoSpaceDN w:val="0"/>
        <w:adjustRightInd w:val="0"/>
        <w:snapToGrid w:val="0"/>
        <w:spacing w:line="580" w:lineRule="exact"/>
        <w:ind w:firstLine="640" w:firstLineChars="200"/>
        <w:textAlignment w:val="baseline"/>
        <w:rPr>
          <w:rFonts w:ascii="仿宋_GB2312" w:hAnsi="仿宋_GB2312" w:eastAsia="仿宋_GB2312" w:cs="仿宋_GB2312"/>
          <w:sz w:val="32"/>
          <w:szCs w:val="32"/>
        </w:rPr>
      </w:pPr>
      <w:r>
        <w:rPr>
          <w:rFonts w:hint="eastAsia" w:ascii="仿宋_GB2312" w:hAnsi="仿宋_GB2312" w:eastAsia="仿宋_GB2312" w:cs="仿宋_GB2312"/>
          <w:sz w:val="32"/>
          <w:szCs w:val="32"/>
        </w:rPr>
        <w:t>一是坚持依法行政，积极开展法治创建，维护林业事业稳定发展，为我区经济社会又好又快发展助力。二是积极开展依法治理工作，提高林业干部职工的法律意识和法制观念，不断强化依法治林、依法兴林的工作态度，有效保护和发展森林资源，争取更多的社会效益。三是强化林业法治化管理。以习近平新时代中国特色社会主义思想为指导，认真贯彻落实区委区府以及市林业局关于法治政府建设的各项要求，查漏补缺，形成有法可依、有法必依、执法必严、违法必究和全民守法的林业法治环境，不断提高林业法治水平。</w:t>
      </w:r>
    </w:p>
    <w:p>
      <w:pPr>
        <w:pStyle w:val="2"/>
        <w:ind w:firstLine="640"/>
        <w:rPr>
          <w:rFonts w:hint="eastAsia" w:ascii="仿宋_GB2312" w:hAnsi="仿宋_GB2312" w:eastAsia="仿宋_GB2312" w:cs="仿宋_GB2312"/>
          <w:sz w:val="32"/>
          <w:szCs w:val="32"/>
        </w:rPr>
      </w:pPr>
    </w:p>
    <w:p>
      <w:pPr>
        <w:pStyle w:val="2"/>
        <w:ind w:firstLine="1760" w:firstLineChars="550"/>
        <w:rPr>
          <w:rFonts w:ascii="仿宋_GB2312" w:hAnsi="仿宋_GB2312" w:eastAsia="仿宋_GB2312" w:cs="仿宋_GB2312"/>
          <w:sz w:val="32"/>
          <w:szCs w:val="32"/>
        </w:rPr>
      </w:pPr>
      <w:r>
        <w:rPr>
          <w:rFonts w:hint="eastAsia" w:ascii="仿宋_GB2312" w:hAnsi="仿宋_GB2312" w:eastAsia="仿宋_GB2312" w:cs="仿宋_GB2312"/>
          <w:sz w:val="32"/>
          <w:szCs w:val="32"/>
        </w:rPr>
        <w:t>西安市临潼区秦岭生态环境保护和综合执法局</w:t>
      </w:r>
    </w:p>
    <w:p>
      <w:pPr>
        <w:pStyle w:val="2"/>
        <w:ind w:firstLine="640"/>
        <w:rPr>
          <w:rFonts w:ascii="仿宋_GB2312" w:hAnsi="仿宋_GB2312" w:eastAsia="仿宋_GB2312" w:cs="仿宋_GB2312"/>
          <w:sz w:val="32"/>
          <w:szCs w:val="32"/>
        </w:rPr>
      </w:pPr>
      <w:r>
        <w:rPr>
          <w:rFonts w:hint="eastAsia" w:ascii="仿宋_GB2312" w:hAnsi="仿宋_GB2312" w:eastAsia="仿宋_GB2312" w:cs="仿宋_GB2312"/>
          <w:sz w:val="32"/>
          <w:szCs w:val="32"/>
        </w:rPr>
        <w:t xml:space="preserve">                      2021年12月17日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DejaVu Sans"/>
    <w:panose1 w:val="020F0502020204030204"/>
    <w:charset w:val="00"/>
    <w:family w:val="swiss"/>
    <w:pitch w:val="default"/>
    <w:sig w:usb0="00000000" w:usb1="00000000" w:usb2="00000001" w:usb3="00000000" w:csb0="0000019F" w:csb1="00000000"/>
  </w:font>
  <w:font w:name="方正小标宋简体">
    <w:panose1 w:val="02000000000000000000"/>
    <w:charset w:val="86"/>
    <w:family w:val="auto"/>
    <w:pitch w:val="default"/>
    <w:sig w:usb0="A00002BF" w:usb1="184F6CFA" w:usb2="00000012" w:usb3="00000000" w:csb0="00040001" w:csb1="00000000"/>
  </w:font>
  <w:font w:name="仿宋_GB2312">
    <w:panose1 w:val="02010609030101010101"/>
    <w:charset w:val="86"/>
    <w:family w:val="modern"/>
    <w:pitch w:val="default"/>
    <w:sig w:usb0="00000001" w:usb1="080E0000" w:usb2="00000000" w:usb3="00000000" w:csb0="00040000" w:csb1="00000000"/>
  </w:font>
  <w:font w:name="仿宋">
    <w:altName w:val="方正仿宋_GBK"/>
    <w:panose1 w:val="02010609060101010101"/>
    <w:charset w:val="86"/>
    <w:family w:val="modern"/>
    <w:pitch w:val="default"/>
    <w:sig w:usb0="00000000" w:usb1="00000000" w:usb2="00000016" w:usb3="00000000" w:csb0="00040001" w:csb1="00000000"/>
  </w:font>
  <w:font w:name="??_GB2312">
    <w:altName w:val="汉仪叶叶相思体简"/>
    <w:panose1 w:val="00000000000000000000"/>
    <w:charset w:val="00"/>
    <w:family w:val="auto"/>
    <w:pitch w:val="default"/>
    <w:sig w:usb0="00000000" w:usb1="00000000" w:usb2="00000000" w:usb3="00000000" w:csb0="00000001" w:csb1="00000000"/>
  </w:font>
  <w:font w:name="方正书宋_GBK">
    <w:panose1 w:val="02000000000000000000"/>
    <w:charset w:val="86"/>
    <w:family w:val="auto"/>
    <w:pitch w:val="default"/>
    <w:sig w:usb0="00000001" w:usb1="08000000" w:usb2="00000000" w:usb3="00000000" w:csb0="00040000" w:csb1="00000000"/>
  </w:font>
  <w:font w:name="方正仿宋_GBK">
    <w:panose1 w:val="02000000000000000000"/>
    <w:charset w:val="86"/>
    <w:family w:val="auto"/>
    <w:pitch w:val="default"/>
    <w:sig w:usb0="00000001" w:usb1="08000000" w:usb2="00000000" w:usb3="00000000" w:csb0="00040000" w:csb1="00000000"/>
  </w:font>
  <w:font w:name="方正黑体_GBK">
    <w:panose1 w:val="02000000000000000000"/>
    <w:charset w:val="86"/>
    <w:family w:val="auto"/>
    <w:pitch w:val="default"/>
    <w:sig w:usb0="00000001" w:usb1="08000000" w:usb2="00000000" w:usb3="00000000" w:csb0="00040000" w:csb1="00000000"/>
  </w:font>
  <w:font w:name="方正宋体S-超大字符集">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AB8BB8D"/>
    <w:multiLevelType w:val="singleLevel"/>
    <w:tmpl w:val="5AB8BB8D"/>
    <w:lvl w:ilvl="0" w:tentative="0">
      <w:start w:val="4"/>
      <w:numFmt w:val="chineseCounting"/>
      <w:suff w:val="nothing"/>
      <w:lvlText w:val="（%1）"/>
      <w:lvlJc w:val="left"/>
      <w:rPr>
        <w:rFonts w:hint="eastAsia"/>
      </w:rPr>
    </w:lvl>
  </w:abstractNum>
  <w:abstractNum w:abstractNumId="1">
    <w:nsid w:val="6ABC8B82"/>
    <w:multiLevelType w:val="singleLevel"/>
    <w:tmpl w:val="6ABC8B82"/>
    <w:lvl w:ilvl="0" w:tentative="0">
      <w:start w:val="2"/>
      <w:numFmt w:val="chineseCounting"/>
      <w:suff w:val="nothing"/>
      <w:lvlText w:val="%1、"/>
      <w:lvlJc w:val="left"/>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5"/>
  <w:embedSystemFonts/>
  <w:bordersDoNotSurroundHeader w:val="true"/>
  <w:bordersDoNotSurroundFooter w:val="true"/>
  <w:documentProtection w:enforcement="0"/>
  <w:defaultTabStop w:val="420"/>
  <w:drawingGridVerticalSpacing w:val="156"/>
  <w:noPunctuationKerning w:val="true"/>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2"/>
  </w:compat>
  <w:docVars>
    <w:docVar w:name="commondata" w:val="eyJoZGlkIjoiZGIwNDE4Y2JiYTJmNTk2MDExNGU4OGNkOTM1Mjc2MDcifQ=="/>
  </w:docVars>
  <w:rsids>
    <w:rsidRoot w:val="006E6132"/>
    <w:rsid w:val="00072798"/>
    <w:rsid w:val="00352B51"/>
    <w:rsid w:val="006E6132"/>
    <w:rsid w:val="00B1528C"/>
    <w:rsid w:val="00D47B17"/>
    <w:rsid w:val="00E16711"/>
    <w:rsid w:val="03E85489"/>
    <w:rsid w:val="05C70E9C"/>
    <w:rsid w:val="094B5940"/>
    <w:rsid w:val="0DF20A80"/>
    <w:rsid w:val="0E2442A9"/>
    <w:rsid w:val="0F106CB7"/>
    <w:rsid w:val="0F515C7A"/>
    <w:rsid w:val="0FBD50BE"/>
    <w:rsid w:val="10242A35"/>
    <w:rsid w:val="11D0732A"/>
    <w:rsid w:val="133236CD"/>
    <w:rsid w:val="179F6A15"/>
    <w:rsid w:val="1A0C60B1"/>
    <w:rsid w:val="1DC2275B"/>
    <w:rsid w:val="1DEB1048"/>
    <w:rsid w:val="20AB2149"/>
    <w:rsid w:val="22657DC8"/>
    <w:rsid w:val="23E7405F"/>
    <w:rsid w:val="23EA0267"/>
    <w:rsid w:val="28986D63"/>
    <w:rsid w:val="2A895E70"/>
    <w:rsid w:val="2D2361FF"/>
    <w:rsid w:val="2D655F7F"/>
    <w:rsid w:val="361857ED"/>
    <w:rsid w:val="385E3ADF"/>
    <w:rsid w:val="39286212"/>
    <w:rsid w:val="39B5590F"/>
    <w:rsid w:val="3E86299B"/>
    <w:rsid w:val="3FE67B95"/>
    <w:rsid w:val="40291830"/>
    <w:rsid w:val="42B850ED"/>
    <w:rsid w:val="431A6D67"/>
    <w:rsid w:val="48CD22C0"/>
    <w:rsid w:val="4B063690"/>
    <w:rsid w:val="4F46219D"/>
    <w:rsid w:val="514C35D0"/>
    <w:rsid w:val="54436F0C"/>
    <w:rsid w:val="614E0C9F"/>
    <w:rsid w:val="681D53E8"/>
    <w:rsid w:val="684C543F"/>
    <w:rsid w:val="710B6BAC"/>
    <w:rsid w:val="76876CD5"/>
    <w:rsid w:val="771B4FFA"/>
    <w:rsid w:val="7BF4074A"/>
    <w:rsid w:val="7D6C09D3"/>
    <w:rsid w:val="7F180A4B"/>
    <w:rsid w:val="7F56B61A"/>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7">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Normal Indent"/>
    <w:basedOn w:val="1"/>
    <w:unhideWhenUsed/>
    <w:qFormat/>
    <w:uiPriority w:val="0"/>
    <w:pPr>
      <w:ind w:firstLine="420" w:firstLineChars="200"/>
    </w:pPr>
    <w:rPr>
      <w:rFonts w:ascii="Calibri" w:hAnsi="Calibri" w:eastAsia="宋体" w:cs="Times New Roman"/>
      <w:kern w:val="0"/>
      <w:sz w:val="20"/>
      <w:szCs w:val="20"/>
    </w:rPr>
  </w:style>
  <w:style w:type="paragraph" w:styleId="3">
    <w:name w:val="footer"/>
    <w:basedOn w:val="1"/>
    <w:link w:val="10"/>
    <w:qFormat/>
    <w:uiPriority w:val="0"/>
    <w:pPr>
      <w:tabs>
        <w:tab w:val="center" w:pos="4153"/>
        <w:tab w:val="right" w:pos="8306"/>
      </w:tabs>
      <w:snapToGrid w:val="0"/>
      <w:jc w:val="left"/>
    </w:pPr>
    <w:rPr>
      <w:sz w:val="18"/>
      <w:szCs w:val="18"/>
    </w:rPr>
  </w:style>
  <w:style w:type="paragraph" w:styleId="4">
    <w:name w:val="header"/>
    <w:basedOn w:val="1"/>
    <w:link w:val="9"/>
    <w:qFormat/>
    <w:uiPriority w:val="0"/>
    <w:pPr>
      <w:pBdr>
        <w:bottom w:val="single" w:color="auto" w:sz="6" w:space="1"/>
      </w:pBdr>
      <w:tabs>
        <w:tab w:val="center" w:pos="4153"/>
        <w:tab w:val="right" w:pos="8306"/>
      </w:tabs>
      <w:snapToGrid w:val="0"/>
      <w:jc w:val="center"/>
    </w:pPr>
    <w:rPr>
      <w:sz w:val="18"/>
      <w:szCs w:val="18"/>
    </w:rPr>
  </w:style>
  <w:style w:type="paragraph" w:styleId="5">
    <w:name w:val="Normal (Web)"/>
    <w:basedOn w:val="1"/>
    <w:qFormat/>
    <w:uiPriority w:val="0"/>
    <w:pPr>
      <w:spacing w:beforeAutospacing="1" w:afterAutospacing="1"/>
      <w:jc w:val="left"/>
    </w:pPr>
    <w:rPr>
      <w:rFonts w:cs="Times New Roman"/>
      <w:kern w:val="0"/>
      <w:sz w:val="24"/>
    </w:rPr>
  </w:style>
  <w:style w:type="character" w:customStyle="1" w:styleId="8">
    <w:name w:val="NormalCharacter"/>
    <w:semiHidden/>
    <w:qFormat/>
    <w:uiPriority w:val="0"/>
  </w:style>
  <w:style w:type="character" w:customStyle="1" w:styleId="9">
    <w:name w:val="页眉 Char"/>
    <w:basedOn w:val="7"/>
    <w:link w:val="4"/>
    <w:qFormat/>
    <w:uiPriority w:val="0"/>
    <w:rPr>
      <w:rFonts w:asciiTheme="minorHAnsi" w:hAnsiTheme="minorHAnsi" w:eastAsiaTheme="minorEastAsia" w:cstheme="minorBidi"/>
      <w:kern w:val="2"/>
      <w:sz w:val="18"/>
      <w:szCs w:val="18"/>
    </w:rPr>
  </w:style>
  <w:style w:type="character" w:customStyle="1" w:styleId="10">
    <w:name w:val="页脚 Char"/>
    <w:basedOn w:val="7"/>
    <w:link w:val="3"/>
    <w:qFormat/>
    <w:uiPriority w:val="0"/>
    <w:rPr>
      <w:rFonts w:asciiTheme="minorHAnsi" w:hAnsiTheme="minorHAnsi" w:eastAsiaTheme="minorEastAsia" w:cstheme="minorBidi"/>
      <w:kern w:val="2"/>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8</Pages>
  <Words>621</Words>
  <Characters>3542</Characters>
  <Lines>29</Lines>
  <Paragraphs>8</Paragraphs>
  <TotalTime>0</TotalTime>
  <ScaleCrop>false</ScaleCrop>
  <LinksUpToDate>false</LinksUpToDate>
  <CharactersWithSpaces>4155</CharactersWithSpaces>
  <Application>WPS Office_11.8.2.9793_F1E327BC-269C-435d-A152-05C5408002CA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2021-12-17T09:36:00Z</dcterms:created>
  <dc:creator>Administrator</dc:creator>
  <cp:lastModifiedBy>guest</cp:lastModifiedBy>
  <dcterms:modified xsi:type="dcterms:W3CDTF">2022-06-15T14:18:07Z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2052-11.8.2.9793</vt:lpwstr>
  </property>
  <property fmtid="{D5CDD505-2E9C-101B-9397-08002B2CF9AE}" pid="3" name="ICV">
    <vt:lpwstr>C73441ADBB964FDD93C16BBAA18457CE</vt:lpwstr>
  </property>
</Properties>
</file>