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附件1</w:t>
      </w:r>
    </w:p>
    <w:p>
      <w:pPr>
        <w:pStyle w:val="4"/>
        <w:spacing w:line="600" w:lineRule="exact"/>
        <w:ind w:firstLine="0" w:firstLineChars="0"/>
        <w:jc w:val="center"/>
        <w:rPr>
          <w:rFonts w:ascii="方正小标宋简体" w:eastAsia="方正小标宋简体" w:cs="Times New Roman"/>
          <w:sz w:val="44"/>
          <w:szCs w:val="44"/>
        </w:rPr>
      </w:pPr>
      <w:bookmarkStart w:id="1" w:name="_GoBack"/>
      <w:r>
        <w:rPr>
          <w:rFonts w:hint="eastAsia" w:ascii="方正小标宋简体" w:eastAsia="方正小标宋简体" w:cs="Times New Roman"/>
          <w:sz w:val="44"/>
          <w:szCs w:val="44"/>
        </w:rPr>
        <w:t>临潼区集体建设用地基准地价表</w:t>
      </w:r>
    </w:p>
    <w:bookmarkEnd w:id="1"/>
    <w:p>
      <w:pPr>
        <w:pStyle w:val="4"/>
        <w:spacing w:line="400" w:lineRule="exact"/>
        <w:ind w:firstLine="0" w:firstLineChars="0"/>
        <w:jc w:val="right"/>
        <w:rPr>
          <w:rFonts w:ascii="宋体" w:hAnsi="宋体" w:cs="Times New Roman"/>
          <w:sz w:val="22"/>
        </w:rPr>
      </w:pPr>
      <w:r>
        <w:rPr>
          <w:rFonts w:hint="eastAsia" w:ascii="宋体" w:hAnsi="宋体" w:cs="Times New Roman"/>
          <w:sz w:val="22"/>
        </w:rPr>
        <w:t>单位：万元/亩（元/平方米）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2205"/>
        <w:gridCol w:w="2154"/>
        <w:gridCol w:w="17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11" w:type="pc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1210" w:firstLineChars="550"/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bookmarkStart w:id="0" w:name="_Hlk535141255"/>
            <w:r>
              <w:rPr>
                <w:rFonts w:ascii="Times New Roman" w:hAnsi="宋体" w:eastAsia="宋体" w:cs="Times New Roman"/>
                <w:color w:val="000000"/>
                <w:sz w:val="22"/>
              </w:rPr>
              <w:t>基准地价</w:t>
            </w:r>
          </w:p>
          <w:p>
            <w:pPr>
              <w:ind w:firstLine="1210" w:firstLineChars="550"/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  <w:p>
            <w:pPr>
              <w:ind w:firstLine="198" w:firstLineChars="90"/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级别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商服用地</w:t>
            </w:r>
          </w:p>
        </w:tc>
        <w:tc>
          <w:tcPr>
            <w:tcW w:w="1265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工矿仓储用地</w:t>
            </w:r>
          </w:p>
        </w:tc>
        <w:tc>
          <w:tcPr>
            <w:tcW w:w="1027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宅基地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1" w:type="pc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Ⅰ</w:t>
            </w:r>
          </w:p>
        </w:tc>
        <w:tc>
          <w:tcPr>
            <w:tcW w:w="12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64(960)</w:t>
            </w:r>
          </w:p>
        </w:tc>
        <w:tc>
          <w:tcPr>
            <w:tcW w:w="1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21(315)</w:t>
            </w:r>
          </w:p>
        </w:tc>
        <w:tc>
          <w:tcPr>
            <w:tcW w:w="1027" w:type="pct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36(540)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1" w:type="pc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Ⅱ</w:t>
            </w:r>
          </w:p>
        </w:tc>
        <w:tc>
          <w:tcPr>
            <w:tcW w:w="12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44(660)</w:t>
            </w:r>
          </w:p>
        </w:tc>
        <w:tc>
          <w:tcPr>
            <w:tcW w:w="1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17(255)</w:t>
            </w:r>
          </w:p>
        </w:tc>
        <w:tc>
          <w:tcPr>
            <w:tcW w:w="10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26(390)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1" w:type="pc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Ⅲ</w:t>
            </w:r>
          </w:p>
        </w:tc>
        <w:tc>
          <w:tcPr>
            <w:tcW w:w="12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30(450)</w:t>
            </w:r>
          </w:p>
        </w:tc>
        <w:tc>
          <w:tcPr>
            <w:tcW w:w="1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14(210)</w:t>
            </w:r>
          </w:p>
        </w:tc>
        <w:tc>
          <w:tcPr>
            <w:tcW w:w="10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18(270)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1" w:type="pc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Ⅳ</w:t>
            </w:r>
          </w:p>
        </w:tc>
        <w:tc>
          <w:tcPr>
            <w:tcW w:w="12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19(285)</w:t>
            </w:r>
          </w:p>
        </w:tc>
        <w:tc>
          <w:tcPr>
            <w:tcW w:w="1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11.6(174)</w:t>
            </w:r>
          </w:p>
        </w:tc>
        <w:tc>
          <w:tcPr>
            <w:tcW w:w="10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12(180)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1" w:type="pc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Ⅴ</w:t>
            </w:r>
          </w:p>
        </w:tc>
        <w:tc>
          <w:tcPr>
            <w:tcW w:w="12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13(195)</w:t>
            </w:r>
          </w:p>
        </w:tc>
        <w:tc>
          <w:tcPr>
            <w:tcW w:w="1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9(135)</w:t>
            </w:r>
          </w:p>
        </w:tc>
        <w:tc>
          <w:tcPr>
            <w:tcW w:w="10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9(135)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1" w:type="pc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Ⅵ</w:t>
            </w:r>
          </w:p>
        </w:tc>
        <w:tc>
          <w:tcPr>
            <w:tcW w:w="1297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10(150)</w:t>
            </w:r>
          </w:p>
        </w:tc>
        <w:tc>
          <w:tcPr>
            <w:tcW w:w="1265" w:type="pc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7(105)</w:t>
            </w:r>
          </w:p>
        </w:tc>
        <w:tc>
          <w:tcPr>
            <w:tcW w:w="1027" w:type="pct"/>
            <w:tcBorders>
              <w:top w:val="single" w:color="auto" w:sz="4" w:space="0"/>
              <w:left w:val="nil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7(105)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、基准地价内涵：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①基准日：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2017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31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日；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②土地开发程度：临潼区集体建设用土地定级成果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I-III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的平均土地开发程度为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“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五通一平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”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（通路、通电、供水、排水、通讯，宗地内场地平整），土地定级成果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IV-VI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级为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“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三通一平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”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（通路、通电、通讯，宗地内场地平整）；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③容积率：临潼区集体建设用土地定级成果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I-III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级范围内：工矿仓储用地容积率为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1.0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，商服用地容积率为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1.5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，宅基地为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1.5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。土地定级成果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IV-VI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级内：工矿仓储用地容积率为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1.0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，商服用地容积率为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1.0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，宅基地为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1.0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；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宋体" w:eastAsia="宋体" w:cs="Times New Roman"/>
                <w:color w:val="000000"/>
                <w:sz w:val="22"/>
              </w:rPr>
              <w:t>④土地使用年期：商服用地为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40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年，工矿仓储用地为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年，宅基地为无限年期。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、土地用途分类说明：基准地价土地用途分类依据国家《土地利用现状分类》（</w:t>
            </w: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GB/T21010-2017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）标准，并结合集体建设用地利用特点，将土地用途划分为商服用地、工矿仓储用地和宅基地三类。其中商服用地包括零售商业用地、批发市场用地、餐饮用地、旅馆用地、商务金融用地、娱乐用地、其他商服用地；工矿仓储用地包括工业用地、采矿用地、仓储用地；宅基地指农村宅基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sz w:val="22"/>
              </w:rPr>
              <w:t>、</w:t>
            </w:r>
            <w:r>
              <w:rPr>
                <w:rFonts w:ascii="Times New Roman" w:hAnsi="宋体" w:eastAsia="宋体" w:cs="Times New Roman"/>
                <w:sz w:val="22"/>
              </w:rPr>
              <w:t>集体公共管理与公共服务用地按照集体工矿仓储用地基准地价上浮</w:t>
            </w:r>
            <w:r>
              <w:rPr>
                <w:rFonts w:ascii="Times New Roman" w:hAnsi="Times New Roman" w:eastAsia="宋体" w:cs="Times New Roman"/>
                <w:sz w:val="22"/>
              </w:rPr>
              <w:t>15%</w:t>
            </w:r>
            <w:r>
              <w:rPr>
                <w:rFonts w:ascii="Times New Roman" w:hAnsi="宋体" w:eastAsia="宋体" w:cs="Times New Roman"/>
                <w:sz w:val="22"/>
              </w:rPr>
              <w:t>后水平执行。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MjA0OThiMjFiZWM5ODQ2M2FhZTUwZjIxNzBkYzEifQ=="/>
  </w:docVars>
  <w:rsids>
    <w:rsidRoot w:val="2E7840EE"/>
    <w:rsid w:val="2E7840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widowControl/>
      <w:adjustRightInd w:val="0"/>
      <w:snapToGrid w:val="0"/>
      <w:spacing w:line="500" w:lineRule="exact"/>
      <w:ind w:firstLine="420" w:firstLineChars="200"/>
    </w:pPr>
    <w:rPr>
      <w:rFonts w:ascii="Times New Roman" w:hAnsi="Times New Roman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2022-07-01T03:43:00Z</dcterms:created>
  <dc:creator>WPS_1544492502</dc:creator>
  <cp:lastModifiedBy>WPS_1544492502</cp:lastModifiedBy>
  <dcterms:modified xsi:type="dcterms:W3CDTF">2022-07-01T03:46:16Z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571CB1B792624EE39D22799155D773DE</vt:lpwstr>
  </property>
</Properties>
</file>