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Times New Roman"/>
          <w:color w:val="000000"/>
          <w:sz w:val="32"/>
          <w:szCs w:val="32"/>
        </w:rPr>
      </w:pPr>
      <w:r>
        <w:rPr>
          <w:rFonts w:ascii="黑体" w:hAnsi="黑体" w:eastAsia="黑体" w:cs="Times New Roman"/>
          <w:color w:val="000000"/>
          <w:sz w:val="32"/>
          <w:szCs w:val="32"/>
        </w:rPr>
        <w:t>附件3</w:t>
      </w:r>
    </w:p>
    <w:p>
      <w:pPr>
        <w:spacing w:line="600" w:lineRule="exact"/>
        <w:ind w:firstLine="660" w:firstLineChars="150"/>
        <w:jc w:val="center"/>
        <w:rPr>
          <w:rFonts w:ascii="方正小标宋简体" w:hAnsi="Times New Roman" w:eastAsia="方正小标宋简体" w:cs="Times New Roman"/>
          <w:sz w:val="44"/>
          <w:szCs w:val="44"/>
        </w:rPr>
      </w:pPr>
      <w:bookmarkStart w:id="0" w:name="_GoBack"/>
      <w:r>
        <w:rPr>
          <w:rFonts w:hint="eastAsia" w:ascii="方正小标宋简体" w:hAnsi="Times New Roman" w:eastAsia="方正小标宋简体" w:cs="Times New Roman"/>
          <w:color w:val="000000"/>
          <w:sz w:val="44"/>
          <w:szCs w:val="44"/>
        </w:rPr>
        <w:t>临潼区</w:t>
      </w:r>
      <w:r>
        <w:rPr>
          <w:rFonts w:hint="eastAsia" w:ascii="方正小标宋简体" w:hAnsi="Times New Roman" w:eastAsia="方正小标宋简体" w:cs="Times New Roman"/>
          <w:sz w:val="44"/>
          <w:szCs w:val="44"/>
        </w:rPr>
        <w:t>耕地基准地价表</w:t>
      </w:r>
    </w:p>
    <w:bookmarkEnd w:id="0"/>
    <w:tbl>
      <w:tblPr>
        <w:tblStyle w:val="3"/>
        <w:tblW w:w="8960" w:type="dxa"/>
        <w:tblInd w:w="9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60"/>
        <w:gridCol w:w="907"/>
        <w:gridCol w:w="768"/>
        <w:gridCol w:w="1205"/>
        <w:gridCol w:w="2360"/>
        <w:gridCol w:w="1380"/>
        <w:gridCol w:w="13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restart"/>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土地</w:t>
            </w:r>
          </w:p>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级别</w:t>
            </w:r>
          </w:p>
        </w:tc>
        <w:tc>
          <w:tcPr>
            <w:tcW w:w="2880" w:type="dxa"/>
            <w:gridSpan w:val="3"/>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基准地价</w:t>
            </w:r>
          </w:p>
        </w:tc>
        <w:tc>
          <w:tcPr>
            <w:tcW w:w="2360" w:type="dxa"/>
            <w:vMerge w:val="restart"/>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分布情况</w:t>
            </w:r>
          </w:p>
        </w:tc>
        <w:tc>
          <w:tcPr>
            <w:tcW w:w="1380" w:type="dxa"/>
            <w:vMerge w:val="restart"/>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面积</w:t>
            </w:r>
            <w:r>
              <w:rPr>
                <w:rFonts w:ascii="Times New Roman" w:hAnsi="Times New Roman" w:eastAsia="宋体" w:cs="Times New Roman"/>
                <w:b/>
                <w:bCs/>
                <w:color w:val="000000"/>
                <w:kern w:val="0"/>
                <w:szCs w:val="21"/>
              </w:rPr>
              <w:t>/hm</w:t>
            </w:r>
            <w:r>
              <w:rPr>
                <w:rFonts w:ascii="Times New Roman" w:hAnsi="Times New Roman" w:eastAsia="宋体" w:cs="Times New Roman"/>
                <w:b/>
                <w:bCs/>
                <w:color w:val="000000"/>
                <w:kern w:val="0"/>
                <w:szCs w:val="21"/>
                <w:vertAlign w:val="superscript"/>
              </w:rPr>
              <w:t>2</w:t>
            </w:r>
          </w:p>
        </w:tc>
        <w:tc>
          <w:tcPr>
            <w:tcW w:w="1380" w:type="dxa"/>
            <w:vMerge w:val="restart"/>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所占比例</w:t>
            </w:r>
            <w:r>
              <w:rPr>
                <w:rFonts w:ascii="Times New Roman" w:hAnsi="Times New Roman" w:eastAsia="宋体" w:cs="Times New Roman"/>
                <w:b/>
                <w:bCs/>
                <w:color w:val="0000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b/>
                <w:bCs/>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地类</w:t>
            </w:r>
          </w:p>
        </w:tc>
        <w:tc>
          <w:tcPr>
            <w:tcW w:w="768" w:type="dxa"/>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元</w:t>
            </w:r>
            <w:r>
              <w:rPr>
                <w:rFonts w:ascii="Times New Roman" w:hAnsi="Times New Roman" w:eastAsia="宋体" w:cs="Times New Roman"/>
                <w:b/>
                <w:bCs/>
                <w:color w:val="000000"/>
                <w:kern w:val="0"/>
                <w:szCs w:val="21"/>
              </w:rPr>
              <w:t>/m</w:t>
            </w:r>
            <w:r>
              <w:rPr>
                <w:rFonts w:ascii="Times New Roman" w:hAnsi="Times New Roman" w:eastAsia="宋体" w:cs="Times New Roman"/>
                <w:b/>
                <w:bCs/>
                <w:color w:val="000000"/>
                <w:kern w:val="0"/>
                <w:szCs w:val="21"/>
                <w:vertAlign w:val="superscript"/>
              </w:rPr>
              <w:t>2</w:t>
            </w:r>
          </w:p>
        </w:tc>
        <w:tc>
          <w:tcPr>
            <w:tcW w:w="1205" w:type="dxa"/>
            <w:shd w:val="clear" w:color="auto" w:fill="auto"/>
            <w:noWrap/>
            <w:vAlign w:val="center"/>
          </w:tcPr>
          <w:p>
            <w:pPr>
              <w:widowControl/>
              <w:jc w:val="center"/>
              <w:rPr>
                <w:rFonts w:ascii="Times New Roman" w:hAnsi="Times New Roman" w:eastAsia="宋体" w:cs="Times New Roman"/>
                <w:b/>
                <w:bCs/>
                <w:color w:val="000000"/>
                <w:kern w:val="0"/>
                <w:szCs w:val="21"/>
              </w:rPr>
            </w:pPr>
            <w:r>
              <w:rPr>
                <w:rFonts w:ascii="Times New Roman" w:hAnsi="宋体" w:eastAsia="宋体" w:cs="Times New Roman"/>
                <w:b/>
                <w:bCs/>
                <w:color w:val="000000"/>
                <w:kern w:val="0"/>
                <w:szCs w:val="21"/>
              </w:rPr>
              <w:t>万元</w:t>
            </w:r>
            <w:r>
              <w:rPr>
                <w:rFonts w:ascii="Times New Roman" w:hAnsi="Times New Roman" w:eastAsia="宋体" w:cs="Times New Roman"/>
                <w:b/>
                <w:bCs/>
                <w:color w:val="000000"/>
                <w:kern w:val="0"/>
                <w:szCs w:val="21"/>
              </w:rPr>
              <w:t>/hm</w:t>
            </w:r>
            <w:r>
              <w:rPr>
                <w:rFonts w:ascii="Times New Roman" w:hAnsi="Times New Roman" w:eastAsia="宋体" w:cs="Times New Roman"/>
                <w:b/>
                <w:bCs/>
                <w:color w:val="000000"/>
                <w:kern w:val="0"/>
                <w:szCs w:val="21"/>
                <w:vertAlign w:val="superscript"/>
              </w:rPr>
              <w:t>2</w:t>
            </w:r>
          </w:p>
        </w:tc>
        <w:tc>
          <w:tcPr>
            <w:tcW w:w="2360" w:type="dxa"/>
            <w:vMerge w:val="continue"/>
            <w:vAlign w:val="center"/>
          </w:tcPr>
          <w:p>
            <w:pPr>
              <w:widowControl/>
              <w:jc w:val="left"/>
              <w:rPr>
                <w:rFonts w:ascii="Times New Roman" w:hAnsi="Times New Roman" w:eastAsia="宋体" w:cs="Times New Roman"/>
                <w:b/>
                <w:bCs/>
                <w:color w:val="000000"/>
                <w:kern w:val="0"/>
                <w:szCs w:val="21"/>
              </w:rPr>
            </w:pPr>
          </w:p>
        </w:tc>
        <w:tc>
          <w:tcPr>
            <w:tcW w:w="1380" w:type="dxa"/>
            <w:vMerge w:val="continue"/>
            <w:vAlign w:val="center"/>
          </w:tcPr>
          <w:p>
            <w:pPr>
              <w:widowControl/>
              <w:jc w:val="left"/>
              <w:rPr>
                <w:rFonts w:ascii="Times New Roman" w:hAnsi="Times New Roman" w:eastAsia="宋体" w:cs="Times New Roman"/>
                <w:b/>
                <w:bCs/>
                <w:color w:val="000000"/>
                <w:kern w:val="0"/>
                <w:szCs w:val="21"/>
              </w:rPr>
            </w:pPr>
          </w:p>
        </w:tc>
        <w:tc>
          <w:tcPr>
            <w:tcW w:w="1380" w:type="dxa"/>
            <w:vMerge w:val="continue"/>
            <w:vAlign w:val="center"/>
          </w:tcPr>
          <w:p>
            <w:pPr>
              <w:widowControl/>
              <w:jc w:val="left"/>
              <w:rPr>
                <w:rFonts w:ascii="Times New Roman" w:hAnsi="Times New Roman" w:eastAsia="宋体" w:cs="Times New Roman"/>
                <w:b/>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restart"/>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I</w:t>
            </w:r>
            <w:r>
              <w:rPr>
                <w:rFonts w:ascii="Times New Roman" w:hAnsi="宋体" w:eastAsia="宋体" w:cs="Times New Roman"/>
                <w:color w:val="000000"/>
                <w:kern w:val="0"/>
                <w:szCs w:val="21"/>
              </w:rPr>
              <w:t>级</w:t>
            </w: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水浇地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32.99</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32.99</w:t>
            </w:r>
          </w:p>
        </w:tc>
        <w:tc>
          <w:tcPr>
            <w:tcW w:w="2360" w:type="dxa"/>
            <w:vMerge w:val="restart"/>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临潼城区及城区周围行者街道、新丰街道、代王街道、斜口街道，以及渭北工业园周围</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3127.52</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5.62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0</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0.00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旱地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30.64</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30.64</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304.47</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0.55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restart"/>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II</w:t>
            </w:r>
            <w:r>
              <w:rPr>
                <w:rFonts w:ascii="Times New Roman" w:hAnsi="宋体" w:eastAsia="宋体" w:cs="Times New Roman"/>
                <w:color w:val="000000"/>
                <w:kern w:val="0"/>
                <w:szCs w:val="21"/>
              </w:rPr>
              <w:t>级</w:t>
            </w: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水浇地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28.22</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28.22</w:t>
            </w:r>
          </w:p>
        </w:tc>
        <w:tc>
          <w:tcPr>
            <w:tcW w:w="2360" w:type="dxa"/>
            <w:vMerge w:val="restart"/>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一级地外围、新市</w:t>
            </w:r>
            <w:r>
              <w:rPr>
                <w:rFonts w:ascii="Times New Roman" w:hAnsi="Times New Roman" w:eastAsia="宋体" w:cs="Times New Roman"/>
                <w:color w:val="000000"/>
                <w:kern w:val="0"/>
                <w:szCs w:val="21"/>
              </w:rPr>
              <w:t>-</w:t>
            </w:r>
            <w:r>
              <w:rPr>
                <w:rFonts w:ascii="Times New Roman" w:hAnsi="宋体" w:eastAsia="宋体" w:cs="Times New Roman"/>
                <w:color w:val="000000"/>
                <w:kern w:val="0"/>
                <w:szCs w:val="21"/>
              </w:rPr>
              <w:t>雨金镇区周围、何寨</w:t>
            </w:r>
            <w:r>
              <w:rPr>
                <w:rFonts w:ascii="Times New Roman" w:hAnsi="Times New Roman" w:eastAsia="宋体" w:cs="Times New Roman"/>
                <w:color w:val="000000"/>
                <w:kern w:val="0"/>
                <w:szCs w:val="21"/>
              </w:rPr>
              <w:t>-</w:t>
            </w:r>
            <w:r>
              <w:rPr>
                <w:rFonts w:ascii="Times New Roman" w:hAnsi="宋体" w:eastAsia="宋体" w:cs="Times New Roman"/>
                <w:color w:val="000000"/>
                <w:kern w:val="0"/>
                <w:szCs w:val="21"/>
              </w:rPr>
              <w:t>零口镇区周边以及徐杨街道靠近阎良城区区域</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10177.24</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18.30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28.22</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28.22</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7.15</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0.01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旱地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26.46</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26.46</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65.85</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0.12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restart"/>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III</w:t>
            </w:r>
            <w:r>
              <w:rPr>
                <w:rFonts w:ascii="Times New Roman" w:hAnsi="宋体" w:eastAsia="宋体" w:cs="Times New Roman"/>
                <w:color w:val="000000"/>
                <w:kern w:val="0"/>
                <w:szCs w:val="21"/>
              </w:rPr>
              <w:t>级</w:t>
            </w: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水浇地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24.11</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24.11</w:t>
            </w:r>
          </w:p>
        </w:tc>
        <w:tc>
          <w:tcPr>
            <w:tcW w:w="2360" w:type="dxa"/>
            <w:vMerge w:val="restart"/>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北部冲积平原区除一级、二级以外区域，黄土台塬区塬面水浇地集中区</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27557.01</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49.55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24.11</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24.11</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38.27</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0.07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旱地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22.34</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22.34</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842.11</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1.51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restart"/>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IV</w:t>
            </w:r>
            <w:r>
              <w:rPr>
                <w:rFonts w:ascii="Times New Roman" w:hAnsi="宋体" w:eastAsia="宋体" w:cs="Times New Roman"/>
                <w:color w:val="000000"/>
                <w:kern w:val="0"/>
                <w:szCs w:val="21"/>
              </w:rPr>
              <w:t>级</w:t>
            </w: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水浇地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20.73</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20.73</w:t>
            </w:r>
          </w:p>
        </w:tc>
        <w:tc>
          <w:tcPr>
            <w:tcW w:w="2360" w:type="dxa"/>
            <w:vMerge w:val="restart"/>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东部渭河沿岸、石川河沿岸、黄土台塬区塬面旱地集中区</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2403.56</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4.32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20.73</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20.73</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121.57</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0.22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旱地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19.11</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19.11</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3951.13</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7.10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restart"/>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V</w:t>
            </w:r>
            <w:r>
              <w:rPr>
                <w:rFonts w:ascii="Times New Roman" w:hAnsi="宋体" w:eastAsia="宋体" w:cs="Times New Roman"/>
                <w:color w:val="000000"/>
                <w:kern w:val="0"/>
                <w:szCs w:val="21"/>
              </w:rPr>
              <w:t>级</w:t>
            </w: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水浇地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2360" w:type="dxa"/>
            <w:vMerge w:val="restart"/>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骊山低山丘陵区</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7.74</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0.01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水田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1.62</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0.00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9" w:hRule="atLeast"/>
        </w:trPr>
        <w:tc>
          <w:tcPr>
            <w:tcW w:w="960" w:type="dxa"/>
            <w:vMerge w:val="continue"/>
            <w:vAlign w:val="center"/>
          </w:tcPr>
          <w:p>
            <w:pPr>
              <w:widowControl/>
              <w:jc w:val="left"/>
              <w:rPr>
                <w:rFonts w:ascii="Times New Roman" w:hAnsi="Times New Roman" w:eastAsia="宋体" w:cs="Times New Roman"/>
                <w:color w:val="000000"/>
                <w:kern w:val="0"/>
                <w:szCs w:val="21"/>
              </w:rPr>
            </w:pPr>
          </w:p>
        </w:tc>
        <w:tc>
          <w:tcPr>
            <w:tcW w:w="90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旱地</w:t>
            </w:r>
          </w:p>
        </w:tc>
        <w:tc>
          <w:tcPr>
            <w:tcW w:w="7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17.35</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17.35</w:t>
            </w:r>
          </w:p>
        </w:tc>
        <w:tc>
          <w:tcPr>
            <w:tcW w:w="2360" w:type="dxa"/>
            <w:vMerge w:val="continue"/>
            <w:vAlign w:val="center"/>
          </w:tcPr>
          <w:p>
            <w:pPr>
              <w:widowControl/>
              <w:jc w:val="left"/>
              <w:rPr>
                <w:rFonts w:ascii="Times New Roman" w:hAnsi="Times New Roman" w:eastAsia="宋体" w:cs="Times New Roman"/>
                <w:color w:val="000000"/>
                <w:kern w:val="0"/>
                <w:szCs w:val="21"/>
              </w:rPr>
            </w:pP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7005.77</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 xml:space="preserve">12.60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9" w:hRule="atLeast"/>
        </w:trPr>
        <w:tc>
          <w:tcPr>
            <w:tcW w:w="960" w:type="dxa"/>
            <w:shd w:val="clear" w:color="auto" w:fill="auto"/>
            <w:noWrap/>
            <w:vAlign w:val="center"/>
          </w:tcPr>
          <w:p>
            <w:pPr>
              <w:widowControl/>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合计</w:t>
            </w:r>
          </w:p>
        </w:tc>
        <w:tc>
          <w:tcPr>
            <w:tcW w:w="1675" w:type="dxa"/>
            <w:gridSpan w:val="2"/>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20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23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55611.01</w:t>
            </w:r>
          </w:p>
        </w:tc>
        <w:tc>
          <w:tcPr>
            <w:tcW w:w="138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8960" w:type="dxa"/>
            <w:gridSpan w:val="7"/>
            <w:shd w:val="clear" w:color="auto" w:fill="auto"/>
            <w:vAlign w:val="center"/>
          </w:tcPr>
          <w:p>
            <w:pPr>
              <w:widowControl/>
              <w:spacing w:line="40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基准地价内涵：</w:t>
            </w:r>
            <w:r>
              <w:rPr>
                <w:rFonts w:ascii="Times New Roman" w:hAnsi="Times New Roman" w:eastAsia="宋体" w:cs="Times New Roman"/>
                <w:color w:val="000000"/>
                <w:kern w:val="0"/>
                <w:szCs w:val="21"/>
              </w:rPr>
              <w:br w:type="textWrapping"/>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、权利状况：农用承包经营权价格；</w:t>
            </w:r>
            <w:r>
              <w:rPr>
                <w:rFonts w:ascii="Times New Roman" w:hAnsi="Times New Roman" w:eastAsia="宋体" w:cs="Times New Roman"/>
                <w:color w:val="000000"/>
                <w:kern w:val="0"/>
                <w:szCs w:val="21"/>
              </w:rPr>
              <w:br w:type="textWrapping"/>
            </w:r>
            <w:r>
              <w:rPr>
                <w:rFonts w:ascii="Times New Roman" w:hAnsi="Times New Roman" w:eastAsia="宋体" w:cs="Times New Roman"/>
                <w:color w:val="000000"/>
                <w:kern w:val="0"/>
                <w:szCs w:val="21"/>
              </w:rPr>
              <w:t>2</w:t>
            </w:r>
            <w:r>
              <w:rPr>
                <w:rFonts w:ascii="Times New Roman" w:hAnsi="宋体" w:eastAsia="宋体" w:cs="Times New Roman"/>
                <w:color w:val="000000"/>
                <w:kern w:val="0"/>
                <w:szCs w:val="21"/>
              </w:rPr>
              <w:t>、土地权利年期：</w:t>
            </w:r>
            <w:r>
              <w:rPr>
                <w:rFonts w:ascii="Times New Roman" w:hAnsi="Times New Roman" w:eastAsia="宋体" w:cs="Times New Roman"/>
                <w:color w:val="000000"/>
                <w:kern w:val="0"/>
                <w:szCs w:val="21"/>
              </w:rPr>
              <w:t>30</w:t>
            </w:r>
            <w:r>
              <w:rPr>
                <w:rFonts w:ascii="Times New Roman" w:hAnsi="宋体" w:eastAsia="宋体" w:cs="Times New Roman"/>
                <w:color w:val="000000"/>
                <w:kern w:val="0"/>
                <w:szCs w:val="21"/>
              </w:rPr>
              <w:t>年期；</w:t>
            </w:r>
            <w:r>
              <w:rPr>
                <w:rFonts w:ascii="Times New Roman" w:hAnsi="Times New Roman" w:eastAsia="宋体" w:cs="Times New Roman"/>
                <w:color w:val="000000"/>
                <w:kern w:val="0"/>
                <w:szCs w:val="21"/>
              </w:rPr>
              <w:br w:type="textWrapping"/>
            </w:r>
            <w:r>
              <w:rPr>
                <w:rFonts w:ascii="Times New Roman" w:hAnsi="Times New Roman" w:eastAsia="宋体" w:cs="Times New Roman"/>
                <w:color w:val="000000"/>
                <w:kern w:val="0"/>
                <w:szCs w:val="21"/>
              </w:rPr>
              <w:t>3</w:t>
            </w:r>
            <w:r>
              <w:rPr>
                <w:rFonts w:ascii="Times New Roman" w:hAnsi="宋体" w:eastAsia="宋体" w:cs="Times New Roman"/>
                <w:color w:val="000000"/>
                <w:kern w:val="0"/>
                <w:szCs w:val="21"/>
              </w:rPr>
              <w:t>、用地类型：为耕地，包括水浇地、水田、旱地；</w:t>
            </w:r>
            <w:r>
              <w:rPr>
                <w:rFonts w:ascii="Times New Roman" w:hAnsi="Times New Roman" w:eastAsia="宋体" w:cs="Times New Roman"/>
                <w:color w:val="000000"/>
                <w:kern w:val="0"/>
                <w:szCs w:val="21"/>
              </w:rPr>
              <w:br w:type="textWrapping"/>
            </w:r>
            <w:r>
              <w:rPr>
                <w:rFonts w:ascii="Times New Roman" w:hAnsi="Times New Roman" w:eastAsia="宋体" w:cs="Times New Roman"/>
                <w:color w:val="000000"/>
                <w:kern w:val="0"/>
                <w:szCs w:val="21"/>
              </w:rPr>
              <w:t>4</w:t>
            </w:r>
            <w:r>
              <w:rPr>
                <w:rFonts w:ascii="Times New Roman" w:hAnsi="宋体" w:eastAsia="宋体" w:cs="Times New Roman"/>
                <w:color w:val="000000"/>
                <w:kern w:val="0"/>
                <w:szCs w:val="21"/>
              </w:rPr>
              <w:t>、耕作制度：根据《农用地质量分等规程》（</w:t>
            </w:r>
            <w:r>
              <w:rPr>
                <w:rFonts w:ascii="Times New Roman" w:hAnsi="Times New Roman" w:eastAsia="宋体" w:cs="Times New Roman"/>
                <w:color w:val="000000"/>
                <w:kern w:val="0"/>
                <w:szCs w:val="21"/>
              </w:rPr>
              <w:t>GB/T 28407-2012</w:t>
            </w:r>
            <w:r>
              <w:rPr>
                <w:rFonts w:ascii="Times New Roman" w:hAnsi="宋体" w:eastAsia="宋体" w:cs="Times New Roman"/>
                <w:color w:val="000000"/>
                <w:kern w:val="0"/>
                <w:szCs w:val="21"/>
              </w:rPr>
              <w:t>）中附录</w:t>
            </w:r>
            <w:r>
              <w:rPr>
                <w:rFonts w:ascii="Times New Roman" w:hAnsi="Times New Roman" w:eastAsia="宋体" w:cs="Times New Roman"/>
                <w:color w:val="000000"/>
                <w:kern w:val="0"/>
                <w:szCs w:val="21"/>
              </w:rPr>
              <w:t xml:space="preserve"> B </w:t>
            </w:r>
            <w:r>
              <w:rPr>
                <w:rFonts w:ascii="Times New Roman" w:hAnsi="宋体" w:eastAsia="宋体" w:cs="Times New Roman"/>
                <w:color w:val="000000"/>
                <w:kern w:val="0"/>
                <w:szCs w:val="21"/>
              </w:rPr>
              <w:t>中陕西省各县（市、区）标准耕作制度速查表，临潼区的标准耕作制度为一年两熟，即冬小麦和夏玉米。临潼区目前作物种植以小麦</w:t>
            </w:r>
            <w:r>
              <w:rPr>
                <w:rFonts w:ascii="Times New Roman" w:hAnsi="Times New Roman" w:eastAsia="宋体" w:cs="Times New Roman"/>
                <w:color w:val="000000"/>
                <w:kern w:val="0"/>
                <w:szCs w:val="21"/>
              </w:rPr>
              <w:t>-</w:t>
            </w:r>
            <w:r>
              <w:rPr>
                <w:rFonts w:ascii="Times New Roman" w:hAnsi="宋体" w:eastAsia="宋体" w:cs="Times New Roman"/>
                <w:color w:val="000000"/>
                <w:kern w:val="0"/>
                <w:szCs w:val="21"/>
              </w:rPr>
              <w:t>玉米为主，与农用地分等成果中规定的标准耕作制度相符，确定本次临潼区农用地基准地价标准耕作制度为冬小麦</w:t>
            </w:r>
            <w:r>
              <w:rPr>
                <w:rFonts w:ascii="Times New Roman" w:hAnsi="Times New Roman" w:eastAsia="宋体" w:cs="Times New Roman"/>
                <w:color w:val="000000"/>
                <w:kern w:val="0"/>
                <w:szCs w:val="21"/>
              </w:rPr>
              <w:t>-</w:t>
            </w:r>
            <w:r>
              <w:rPr>
                <w:rFonts w:ascii="Times New Roman" w:hAnsi="宋体" w:eastAsia="宋体" w:cs="Times New Roman"/>
                <w:color w:val="000000"/>
                <w:kern w:val="0"/>
                <w:szCs w:val="21"/>
              </w:rPr>
              <w:t>夏玉米；</w:t>
            </w:r>
            <w:r>
              <w:rPr>
                <w:rFonts w:ascii="Times New Roman" w:hAnsi="Times New Roman" w:eastAsia="宋体" w:cs="Times New Roman"/>
                <w:color w:val="000000"/>
                <w:kern w:val="0"/>
                <w:szCs w:val="21"/>
              </w:rPr>
              <w:br w:type="textWrapping"/>
            </w:r>
            <w:r>
              <w:rPr>
                <w:rFonts w:ascii="Times New Roman" w:hAnsi="Times New Roman" w:eastAsia="宋体" w:cs="Times New Roman"/>
                <w:color w:val="000000"/>
                <w:kern w:val="0"/>
                <w:szCs w:val="21"/>
              </w:rPr>
              <w:t>5</w:t>
            </w:r>
            <w:r>
              <w:rPr>
                <w:rFonts w:ascii="Times New Roman" w:hAnsi="宋体" w:eastAsia="宋体" w:cs="Times New Roman"/>
                <w:color w:val="000000"/>
                <w:kern w:val="0"/>
                <w:szCs w:val="21"/>
              </w:rPr>
              <w:t>、依据《农用地估价规程》（</w:t>
            </w:r>
            <w:r>
              <w:rPr>
                <w:rFonts w:ascii="Times New Roman" w:hAnsi="Times New Roman" w:eastAsia="宋体" w:cs="Times New Roman"/>
                <w:color w:val="000000"/>
                <w:kern w:val="0"/>
                <w:szCs w:val="21"/>
              </w:rPr>
              <w:t>GB/T 28406-2012</w:t>
            </w:r>
            <w:r>
              <w:rPr>
                <w:rFonts w:ascii="Times New Roman" w:hAnsi="宋体" w:eastAsia="宋体" w:cs="Times New Roman"/>
                <w:color w:val="000000"/>
                <w:kern w:val="0"/>
                <w:szCs w:val="21"/>
              </w:rPr>
              <w:t>），本次评估的农用地基准地价所设定的农田基本设施状况为农用地各级别内实际、正常平均水平的农用设施配套程度。即田块外道路通达且有水源保障，大小适中、形状规则、田间路网密度适中；</w:t>
            </w:r>
            <w:r>
              <w:rPr>
                <w:rFonts w:ascii="Times New Roman" w:hAnsi="Times New Roman" w:eastAsia="宋体" w:cs="Times New Roman"/>
                <w:color w:val="000000"/>
                <w:kern w:val="0"/>
                <w:szCs w:val="21"/>
              </w:rPr>
              <w:br w:type="textWrapping"/>
            </w:r>
            <w:r>
              <w:rPr>
                <w:rFonts w:ascii="Times New Roman" w:hAnsi="Times New Roman" w:eastAsia="宋体" w:cs="Times New Roman"/>
                <w:color w:val="000000"/>
                <w:kern w:val="0"/>
                <w:szCs w:val="21"/>
              </w:rPr>
              <w:t>6</w:t>
            </w:r>
            <w:r>
              <w:rPr>
                <w:rFonts w:ascii="Times New Roman" w:hAnsi="宋体" w:eastAsia="宋体" w:cs="Times New Roman"/>
                <w:color w:val="000000"/>
                <w:kern w:val="0"/>
                <w:szCs w:val="21"/>
              </w:rPr>
              <w:t>、基准地价评估基准日：</w:t>
            </w:r>
            <w:r>
              <w:rPr>
                <w:rFonts w:ascii="Times New Roman" w:hAnsi="Times New Roman" w:eastAsia="宋体" w:cs="Times New Roman"/>
                <w:color w:val="000000"/>
                <w:kern w:val="0"/>
                <w:szCs w:val="21"/>
              </w:rPr>
              <w:t>2017</w:t>
            </w:r>
            <w:r>
              <w:rPr>
                <w:rFonts w:ascii="Times New Roman" w:hAnsi="宋体" w:eastAsia="宋体" w:cs="Times New Roman"/>
                <w:color w:val="000000"/>
                <w:kern w:val="0"/>
                <w:szCs w:val="21"/>
              </w:rPr>
              <w:t>年</w:t>
            </w:r>
            <w:r>
              <w:rPr>
                <w:rFonts w:ascii="Times New Roman" w:hAnsi="Times New Roman" w:eastAsia="宋体" w:cs="Times New Roman"/>
                <w:color w:val="000000"/>
                <w:kern w:val="0"/>
                <w:szCs w:val="21"/>
              </w:rPr>
              <w:t>12</w:t>
            </w:r>
            <w:r>
              <w:rPr>
                <w:rFonts w:ascii="Times New Roman" w:hAnsi="宋体" w:eastAsia="宋体" w:cs="Times New Roman"/>
                <w:color w:val="000000"/>
                <w:kern w:val="0"/>
                <w:szCs w:val="21"/>
              </w:rPr>
              <w:t>月</w:t>
            </w:r>
            <w:r>
              <w:rPr>
                <w:rFonts w:ascii="Times New Roman" w:hAnsi="Times New Roman" w:eastAsia="宋体" w:cs="Times New Roman"/>
                <w:color w:val="000000"/>
                <w:kern w:val="0"/>
                <w:szCs w:val="21"/>
              </w:rPr>
              <w:t>31</w:t>
            </w:r>
            <w:r>
              <w:rPr>
                <w:rFonts w:ascii="Times New Roman" w:hAnsi="宋体" w:eastAsia="宋体" w:cs="Times New Roman"/>
                <w:color w:val="000000"/>
                <w:kern w:val="0"/>
                <w:szCs w:val="21"/>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MjA0OThiMjFiZWM5ODQ2M2FhZTUwZjIxNzBkYzEifQ=="/>
  </w:docVars>
  <w:rsids>
    <w:rsidRoot w:val="2E7840EE"/>
    <w:rsid w:val="24A570AC"/>
    <w:rsid w:val="2E7840EE"/>
    <w:rsid w:val="5DAB4362"/>
    <w:rsid w:val="7F8644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List Paragraph"/>
    <w:basedOn w:val="1"/>
    <w:qFormat/>
    <w:uiPriority w:val="34"/>
    <w:pPr>
      <w:widowControl/>
      <w:adjustRightInd w:val="0"/>
      <w:snapToGrid w:val="0"/>
      <w:spacing w:line="500" w:lineRule="exact"/>
      <w:ind w:firstLine="420" w:firstLineChars="200"/>
    </w:pPr>
    <w:rPr>
      <w:rFonts w:ascii="Times New Roman" w:hAnsi="Times New Roman" w:eastAsia="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Words>
  <Characters>3</Characters>
  <Lines>0</Lines>
  <Paragraphs>0</Paragraphs>
  <TotalTime>0</TotalTime>
  <ScaleCrop>false</ScaleCrop>
  <LinksUpToDate>false</LinksUpToDate>
  <CharactersWithSpaces>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2022-07-01T03:43:00Z</dcterms:created>
  <dc:creator>WPS_1544492502</dc:creator>
  <cp:lastModifiedBy>WPS_1544492502</cp:lastModifiedBy>
  <dcterms:modified xsi:type="dcterms:W3CDTF">2022-07-01T03:48:20Z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45F95008CCF3438B9214F0B306672E49</vt:lpwstr>
  </property>
</Properties>
</file>