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4DE" w:rsidRPr="00BE14DE" w:rsidRDefault="00BE14DE" w:rsidP="00BE14DE">
      <w:pPr>
        <w:spacing w:line="540" w:lineRule="exact"/>
        <w:jc w:val="center"/>
        <w:rPr>
          <w:rFonts w:ascii="方正小标宋简体" w:eastAsia="方正小标宋简体" w:hAnsi="宋体" w:cs="Times New Roman"/>
          <w:kern w:val="0"/>
          <w:sz w:val="44"/>
          <w:szCs w:val="44"/>
        </w:rPr>
      </w:pPr>
      <w:r w:rsidRPr="00BE14DE">
        <w:rPr>
          <w:rFonts w:ascii="方正小标宋简体" w:eastAsia="方正小标宋简体" w:hAnsi="宋体" w:cs="Times New Roman" w:hint="eastAsia"/>
          <w:kern w:val="0"/>
          <w:sz w:val="44"/>
          <w:szCs w:val="44"/>
        </w:rPr>
        <w:t>市十七届人大一次会议上的《政府工作报告》涉及临潼工作</w:t>
      </w:r>
    </w:p>
    <w:p w:rsidR="00BE14DE" w:rsidRPr="00BE14DE" w:rsidRDefault="00BE14DE" w:rsidP="00BE14DE">
      <w:pPr>
        <w:spacing w:line="540" w:lineRule="exact"/>
        <w:jc w:val="center"/>
        <w:rPr>
          <w:rFonts w:ascii="方正小标宋简体" w:eastAsia="方正小标宋简体" w:hAnsi="宋体" w:cs="Times New Roman"/>
          <w:kern w:val="0"/>
          <w:sz w:val="44"/>
          <w:szCs w:val="44"/>
        </w:rPr>
      </w:pPr>
      <w:r w:rsidRPr="00BE14DE">
        <w:rPr>
          <w:rFonts w:ascii="方正小标宋简体" w:eastAsia="方正小标宋简体" w:hAnsi="宋体" w:cs="Times New Roman" w:hint="eastAsia"/>
          <w:kern w:val="0"/>
          <w:sz w:val="44"/>
          <w:szCs w:val="44"/>
        </w:rPr>
        <w:t>任务分解表</w:t>
      </w:r>
    </w:p>
    <w:p w:rsidR="00BE14DE" w:rsidRPr="00BE14DE" w:rsidRDefault="00BE14DE" w:rsidP="00BE14DE">
      <w:pPr>
        <w:spacing w:line="540" w:lineRule="exact"/>
        <w:jc w:val="center"/>
        <w:rPr>
          <w:rFonts w:ascii="方正小标宋简体" w:eastAsia="方正小标宋简体" w:hAnsi="宋体" w:cs="Times New Roman"/>
          <w:kern w:val="0"/>
          <w:sz w:val="44"/>
          <w:szCs w:val="44"/>
        </w:rPr>
      </w:pPr>
    </w:p>
    <w:tbl>
      <w:tblPr>
        <w:tblW w:w="14401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5"/>
        <w:gridCol w:w="5592"/>
        <w:gridCol w:w="1815"/>
        <w:gridCol w:w="2168"/>
        <w:gridCol w:w="2318"/>
        <w:gridCol w:w="1613"/>
      </w:tblGrid>
      <w:tr w:rsidR="00BE14DE" w:rsidRPr="00BE14DE" w:rsidTr="007A757E">
        <w:trPr>
          <w:cantSplit/>
          <w:trHeight w:val="46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加快推进京昆高速改扩建、国道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210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西安段等重大工程。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孟俊平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交运局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发改委、资源规划分局、相关街办（园区）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416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大力推广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陕鼓模式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霍炳男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科工商务局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421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加强世界遗产保护管理，持续提升秦始皇陵等大遗址保护展示水平。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张超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文旅局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秦保局、住建局、生态环境分局、秦文化旅游区管委会等相关单位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413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持续提升《长恨歌》等品牌演艺影响力。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文旅局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419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推进兵马俑文旅度假区等重大文旅项目建设。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薛凡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度假区发展服务中心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资源规划分局、相关街办（园区）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39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推进临潼石榴等全国名特优新农产品质量全程控制试点。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王鹏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农业农村局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</w:tbl>
    <w:p w:rsidR="00BE14DE" w:rsidRPr="00BE14DE" w:rsidRDefault="00BE14DE" w:rsidP="00BE14DE">
      <w:pPr>
        <w:spacing w:line="540" w:lineRule="exact"/>
        <w:jc w:val="center"/>
        <w:rPr>
          <w:rFonts w:ascii="方正小标宋简体" w:eastAsia="方正小标宋简体" w:hAnsi="宋体" w:cs="Times New Roman"/>
          <w:b/>
          <w:kern w:val="0"/>
          <w:sz w:val="44"/>
          <w:szCs w:val="44"/>
        </w:rPr>
      </w:pPr>
    </w:p>
    <w:p w:rsidR="00BE14DE" w:rsidRPr="00BE14DE" w:rsidRDefault="00BE14DE" w:rsidP="00BE14DE">
      <w:pPr>
        <w:spacing w:line="540" w:lineRule="exact"/>
        <w:jc w:val="center"/>
        <w:rPr>
          <w:rFonts w:ascii="方正小标宋简体" w:eastAsia="方正小标宋简体" w:hAnsi="宋体" w:cs="Times New Roman"/>
          <w:b/>
          <w:kern w:val="0"/>
          <w:sz w:val="44"/>
          <w:szCs w:val="44"/>
        </w:rPr>
      </w:pPr>
    </w:p>
    <w:p w:rsidR="00BE14DE" w:rsidRPr="00BE14DE" w:rsidRDefault="00BE14DE" w:rsidP="00BE14DE">
      <w:pPr>
        <w:spacing w:line="540" w:lineRule="exact"/>
        <w:jc w:val="center"/>
        <w:rPr>
          <w:rFonts w:ascii="方正小标宋简体" w:eastAsia="方正小标宋简体" w:hAnsi="宋体" w:cs="Times New Roman"/>
          <w:b/>
          <w:kern w:val="0"/>
          <w:sz w:val="44"/>
          <w:szCs w:val="44"/>
        </w:rPr>
      </w:pPr>
    </w:p>
    <w:p w:rsidR="00BE14DE" w:rsidRPr="00BE14DE" w:rsidRDefault="00BE14DE" w:rsidP="00BE14DE">
      <w:pPr>
        <w:spacing w:line="540" w:lineRule="exact"/>
        <w:jc w:val="center"/>
        <w:rPr>
          <w:rFonts w:ascii="方正小标宋简体" w:eastAsia="方正小标宋简体" w:hAnsi="宋体" w:cs="Times New Roman"/>
          <w:b/>
          <w:kern w:val="0"/>
          <w:sz w:val="44"/>
          <w:szCs w:val="44"/>
        </w:rPr>
      </w:pPr>
    </w:p>
    <w:p w:rsidR="00BE14DE" w:rsidRPr="00BE14DE" w:rsidRDefault="00BE14DE" w:rsidP="00BE14DE">
      <w:pPr>
        <w:spacing w:line="540" w:lineRule="exact"/>
        <w:jc w:val="center"/>
        <w:rPr>
          <w:rFonts w:ascii="方正小标宋简体" w:eastAsia="方正小标宋简体" w:hAnsi="宋体" w:cs="Times New Roman"/>
          <w:b/>
          <w:kern w:val="0"/>
          <w:sz w:val="44"/>
          <w:szCs w:val="44"/>
        </w:rPr>
      </w:pPr>
    </w:p>
    <w:p w:rsidR="00BE14DE" w:rsidRPr="00BE14DE" w:rsidRDefault="00BE14DE" w:rsidP="00BE14DE">
      <w:pPr>
        <w:spacing w:line="540" w:lineRule="exact"/>
        <w:jc w:val="center"/>
        <w:rPr>
          <w:rFonts w:ascii="方正小标宋简体" w:eastAsia="方正小标宋简体" w:hAnsi="宋体" w:cs="Times New Roman"/>
          <w:kern w:val="0"/>
          <w:sz w:val="44"/>
          <w:szCs w:val="44"/>
        </w:rPr>
      </w:pPr>
    </w:p>
    <w:p w:rsidR="00BE14DE" w:rsidRPr="00BE14DE" w:rsidRDefault="00BE14DE" w:rsidP="00BE14DE">
      <w:pPr>
        <w:spacing w:line="540" w:lineRule="exact"/>
        <w:jc w:val="center"/>
        <w:rPr>
          <w:rFonts w:ascii="方正小标宋简体" w:eastAsia="方正小标宋简体" w:hAnsi="宋体" w:cs="Times New Roman"/>
          <w:kern w:val="0"/>
          <w:sz w:val="44"/>
          <w:szCs w:val="44"/>
        </w:rPr>
      </w:pPr>
      <w:r w:rsidRPr="00BE14DE">
        <w:rPr>
          <w:rFonts w:ascii="方正小标宋简体" w:eastAsia="方正小标宋简体" w:hAnsi="宋体" w:cs="Times New Roman" w:hint="eastAsia"/>
          <w:kern w:val="0"/>
          <w:sz w:val="44"/>
          <w:szCs w:val="44"/>
        </w:rPr>
        <w:lastRenderedPageBreak/>
        <w:t>区十九届人大一次会议上的《政府工作报告》目标任务分解表</w:t>
      </w:r>
    </w:p>
    <w:p w:rsidR="00BE14DE" w:rsidRPr="00BE14DE" w:rsidRDefault="00BE14DE" w:rsidP="00BE14DE">
      <w:pPr>
        <w:spacing w:line="540" w:lineRule="exact"/>
        <w:jc w:val="center"/>
        <w:rPr>
          <w:rFonts w:ascii="方正小标宋简体" w:eastAsia="方正小标宋简体" w:hAnsi="宋体" w:cs="Times New Roman"/>
          <w:kern w:val="0"/>
          <w:sz w:val="44"/>
          <w:szCs w:val="44"/>
        </w:rPr>
      </w:pPr>
    </w:p>
    <w:tbl>
      <w:tblPr>
        <w:tblW w:w="14401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5"/>
        <w:gridCol w:w="5592"/>
        <w:gridCol w:w="1815"/>
        <w:gridCol w:w="2168"/>
        <w:gridCol w:w="50"/>
        <w:gridCol w:w="2268"/>
        <w:gridCol w:w="1613"/>
      </w:tblGrid>
      <w:tr w:rsidR="00BE14DE" w:rsidRPr="00BE14DE" w:rsidTr="007A757E">
        <w:trPr>
          <w:cantSplit/>
          <w:trHeight w:val="20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BE14DE">
              <w:rPr>
                <w:rFonts w:ascii="黑体" w:eastAsia="黑体" w:hAnsi="黑体" w:cs="Times New Roman" w:hint="eastAsia"/>
                <w:kern w:val="0"/>
                <w:szCs w:val="21"/>
              </w:rPr>
              <w:t>序号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BE14DE">
              <w:rPr>
                <w:rFonts w:ascii="黑体" w:eastAsia="黑体" w:hAnsi="黑体" w:cs="Times New Roman" w:hint="eastAsia"/>
                <w:kern w:val="0"/>
                <w:szCs w:val="21"/>
              </w:rPr>
              <w:t>主要任务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BE14DE">
              <w:rPr>
                <w:rFonts w:ascii="黑体" w:eastAsia="黑体" w:hAnsi="黑体" w:cs="Times New Roman" w:hint="eastAsia"/>
                <w:kern w:val="0"/>
                <w:szCs w:val="21"/>
              </w:rPr>
              <w:t>分管领导</w:t>
            </w:r>
          </w:p>
        </w:tc>
        <w:tc>
          <w:tcPr>
            <w:tcW w:w="22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BE14DE">
              <w:rPr>
                <w:rFonts w:ascii="黑体" w:eastAsia="黑体" w:hAnsi="黑体" w:cs="Times New Roman" w:hint="eastAsia"/>
                <w:kern w:val="0"/>
                <w:szCs w:val="21"/>
              </w:rPr>
              <w:t>责任单位（牵头单位）</w:t>
            </w:r>
          </w:p>
        </w:tc>
        <w:tc>
          <w:tcPr>
            <w:tcW w:w="22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BE14DE">
              <w:rPr>
                <w:rFonts w:ascii="黑体" w:eastAsia="黑体" w:hAnsi="黑体" w:cs="Times New Roman" w:hint="eastAsia"/>
                <w:kern w:val="0"/>
                <w:szCs w:val="21"/>
              </w:rPr>
              <w:t>配合单位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BE14DE">
              <w:rPr>
                <w:rFonts w:ascii="黑体" w:eastAsia="黑体" w:hAnsi="黑体" w:cs="Times New Roman" w:hint="eastAsia"/>
                <w:kern w:val="0"/>
                <w:szCs w:val="21"/>
              </w:rPr>
              <w:t>完成时限</w:t>
            </w:r>
          </w:p>
        </w:tc>
      </w:tr>
      <w:tr w:rsidR="00BE14DE" w:rsidRPr="00BE14DE" w:rsidTr="007A757E">
        <w:trPr>
          <w:cantSplit/>
          <w:trHeight w:val="460"/>
        </w:trPr>
        <w:tc>
          <w:tcPr>
            <w:tcW w:w="14401" w:type="dxa"/>
            <w:gridSpan w:val="7"/>
            <w:vAlign w:val="center"/>
          </w:tcPr>
          <w:p w:rsidR="00BE14DE" w:rsidRPr="00BE14DE" w:rsidRDefault="00BE14DE" w:rsidP="00BE14DE">
            <w:pPr>
              <w:widowControl/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36"/>
                <w:szCs w:val="21"/>
              </w:rPr>
            </w:pPr>
            <w:r w:rsidRPr="00BE14DE">
              <w:rPr>
                <w:rFonts w:ascii="黑体" w:eastAsia="黑体" w:hAnsi="黑体" w:cs="Times New Roman" w:hint="eastAsia"/>
                <w:kern w:val="0"/>
                <w:sz w:val="36"/>
                <w:szCs w:val="21"/>
              </w:rPr>
              <w:t>一、经济社会发展的主要预期目标</w:t>
            </w:r>
          </w:p>
        </w:tc>
      </w:tr>
      <w:tr w:rsidR="00BE14DE" w:rsidRPr="00BE14DE" w:rsidTr="007A757E">
        <w:trPr>
          <w:cantSplit/>
          <w:trHeight w:val="410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地区生产总值增长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6.5%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以上。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魏养毅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发改委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各街办、各部门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416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全区固定资产投资增长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8%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以上。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发改委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各街办、各部门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421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地方财政一般公共预算收入增长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5%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以上。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财政局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各街办、各部门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413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规模以上工业增加值增长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8%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以上。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霍炳男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科工商务局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各街办、各部门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419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社会消费品零售总额增长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8%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以上。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科工商务局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各街办、各部门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39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城乡居民人均可支配收入稳步增长，农村居民人均可支配收入增幅高于城镇居民人均可支配收入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个百分点以上。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魏养毅、王鹏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发改委、农业农村局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各街办、各部门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607"/>
        </w:trPr>
        <w:tc>
          <w:tcPr>
            <w:tcW w:w="14401" w:type="dxa"/>
            <w:gridSpan w:val="7"/>
            <w:vAlign w:val="center"/>
          </w:tcPr>
          <w:p w:rsidR="00BE14DE" w:rsidRPr="00BE14DE" w:rsidRDefault="00BE14DE" w:rsidP="00BE14DE">
            <w:pPr>
              <w:widowControl/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BE14DE">
              <w:rPr>
                <w:rFonts w:ascii="黑体" w:eastAsia="黑体" w:hAnsi="黑体" w:cs="Times New Roman" w:hint="eastAsia"/>
                <w:kern w:val="0"/>
                <w:sz w:val="36"/>
                <w:szCs w:val="21"/>
              </w:rPr>
              <w:t>二、聚焦项目建设，全力以赴促投资、强动能</w:t>
            </w:r>
          </w:p>
        </w:tc>
      </w:tr>
      <w:tr w:rsidR="00BE14DE" w:rsidRPr="00BE14DE" w:rsidTr="007A757E">
        <w:trPr>
          <w:cantSplit/>
          <w:trHeight w:val="375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建立项目建设全生命周期考核制度，落实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四个一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一项目两清单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工作机制。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魏养毅</w:t>
            </w:r>
          </w:p>
        </w:tc>
        <w:tc>
          <w:tcPr>
            <w:tcW w:w="22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发改委</w:t>
            </w:r>
          </w:p>
        </w:tc>
        <w:tc>
          <w:tcPr>
            <w:tcW w:w="22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承担项目建设的主体责任单位及相关配合单位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按照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2022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年重点项目目标任务计划推进</w:t>
            </w:r>
          </w:p>
        </w:tc>
      </w:tr>
      <w:tr w:rsidR="00BE14DE" w:rsidRPr="00BE14DE" w:rsidTr="007A757E">
        <w:trPr>
          <w:cantSplit/>
          <w:trHeight w:val="375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一季度开工率达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50%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，二季度全部开工，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20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个市级重点项目完成投资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63.5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亿元。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2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发改委</w:t>
            </w:r>
          </w:p>
        </w:tc>
        <w:tc>
          <w:tcPr>
            <w:tcW w:w="22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承担项目建设的主体责任单位及相关配合单位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按照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2022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年重点项目目标任务计划推进</w:t>
            </w:r>
          </w:p>
        </w:tc>
      </w:tr>
      <w:tr w:rsidR="00BE14DE" w:rsidRPr="00BE14DE" w:rsidTr="007A757E">
        <w:trPr>
          <w:cantSplit/>
          <w:trHeight w:val="375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围绕青啤、中储、依必安派特等大型企业，引进上下游配套产业，形成产业集群。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霍炳男</w:t>
            </w:r>
          </w:p>
        </w:tc>
        <w:tc>
          <w:tcPr>
            <w:tcW w:w="22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投资局</w:t>
            </w:r>
          </w:p>
        </w:tc>
        <w:tc>
          <w:tcPr>
            <w:tcW w:w="22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发改委、现代工业新城管委会等相关单位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763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lastRenderedPageBreak/>
              <w:t>10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全年引进世界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500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强企业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2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家、中国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500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强企业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3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家，签订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10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亿元以上合同项目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2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个。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霍炳男</w:t>
            </w:r>
          </w:p>
        </w:tc>
        <w:tc>
          <w:tcPr>
            <w:tcW w:w="2218" w:type="dxa"/>
            <w:gridSpan w:val="2"/>
            <w:vMerge w:val="restart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投资局</w:t>
            </w:r>
          </w:p>
        </w:tc>
        <w:tc>
          <w:tcPr>
            <w:tcW w:w="2268" w:type="dxa"/>
            <w:vMerge w:val="restart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科工商务局等相关</w:t>
            </w:r>
          </w:p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单位</w:t>
            </w:r>
          </w:p>
        </w:tc>
        <w:tc>
          <w:tcPr>
            <w:tcW w:w="1613" w:type="dxa"/>
            <w:vMerge w:val="restart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835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积极参加各类经贸洽谈活动，加强对外宣传推介，全年签约项目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20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个以上，投资额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100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亿元以上。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218" w:type="dxa"/>
            <w:gridSpan w:val="2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</w:tr>
      <w:tr w:rsidR="00BE14DE" w:rsidRPr="00BE14DE" w:rsidTr="007A757E">
        <w:trPr>
          <w:cantSplit/>
          <w:trHeight w:val="763"/>
        </w:trPr>
        <w:tc>
          <w:tcPr>
            <w:tcW w:w="14401" w:type="dxa"/>
            <w:gridSpan w:val="7"/>
            <w:vAlign w:val="center"/>
          </w:tcPr>
          <w:p w:rsidR="00BE14DE" w:rsidRPr="00BE14DE" w:rsidRDefault="00BE14DE" w:rsidP="00BE14DE">
            <w:pPr>
              <w:widowControl/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BE14DE">
              <w:rPr>
                <w:rFonts w:ascii="黑体" w:eastAsia="黑体" w:hAnsi="黑体" w:cs="Times New Roman" w:hint="eastAsia"/>
                <w:kern w:val="0"/>
                <w:sz w:val="36"/>
                <w:szCs w:val="21"/>
              </w:rPr>
              <w:t>三、聚焦合作共赢，优势互补谋发展、谱新篇</w:t>
            </w:r>
          </w:p>
        </w:tc>
      </w:tr>
      <w:tr w:rsidR="00BE14DE" w:rsidRPr="00BE14DE" w:rsidTr="007A757E">
        <w:trPr>
          <w:cantSplit/>
          <w:trHeight w:val="840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加强与经开区合作，加快推进渭北新城航空动力研发产业园、西北有色科技产业园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2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个百亿级项目建设。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魏养毅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现代工业新城</w:t>
            </w:r>
          </w:p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管委会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757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13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加强与曲江新区合作，高标准编制芷阳新区、秦始皇陵文旅度假区片区。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薛凡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度假区发展服务中心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资源规划分局、</w:t>
            </w:r>
          </w:p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相关街办（园区）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757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14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建成投用文旅展示中心。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度假区发展服务中心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559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规划实施秦</w:t>
            </w:r>
            <w:r w:rsidRPr="00BE14DE">
              <w:rPr>
                <w:rFonts w:ascii="Times New Roman" w:eastAsia="宋体" w:hAnsi="Times New Roman" w:cs="Times New Roman"/>
                <w:szCs w:val="21"/>
              </w:rPr>
              <w:t>•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奥莱小镇建设项目。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霍炳男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旅游商贸开发区</w:t>
            </w:r>
          </w:p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管委会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投资局、资源规划分局等相关单位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562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16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加强与渭南高新区合作，打造西渭融合发展桥头堡。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临渭经济协作区</w:t>
            </w:r>
          </w:p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管委会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投资局等相关单位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1077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17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加强与国际港务区合作，依托新丰铁路编组站货运能力及现代物流区产业、区位优势，建设新丰大宗物流集散平台及临港产业园。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魏养毅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现代物流区管委会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562"/>
        </w:trPr>
        <w:tc>
          <w:tcPr>
            <w:tcW w:w="14401" w:type="dxa"/>
            <w:gridSpan w:val="7"/>
            <w:vAlign w:val="center"/>
          </w:tcPr>
          <w:p w:rsidR="00BE14DE" w:rsidRPr="00BE14DE" w:rsidRDefault="00BE14DE" w:rsidP="00BE14DE">
            <w:pPr>
              <w:widowControl/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BE14DE">
              <w:rPr>
                <w:rFonts w:ascii="黑体" w:eastAsia="黑体" w:hAnsi="黑体" w:cs="Times New Roman" w:hint="eastAsia"/>
                <w:kern w:val="0"/>
                <w:sz w:val="36"/>
                <w:szCs w:val="21"/>
              </w:rPr>
              <w:t>四、聚焦城市能级，统筹布局优空间、强功能</w:t>
            </w:r>
          </w:p>
        </w:tc>
      </w:tr>
      <w:tr w:rsidR="00BE14DE" w:rsidRPr="00BE14DE" w:rsidTr="007A757E">
        <w:trPr>
          <w:cantSplit/>
          <w:trHeight w:val="542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18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实施火车站历史文化街区项目。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王鹏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文旅公司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文旅局等相关单位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750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lastRenderedPageBreak/>
              <w:t>19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实施秦汉大道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3200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亩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TOD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项目。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霍炳男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旅游商贸开发区</w:t>
            </w:r>
          </w:p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管委会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投资局、秦汉大道公司等相关单位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73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整体推动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13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平方公里老城区有机更新。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孟俊平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住建局（城市更新领导小组办公室）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城棚改事务中心、资源规划分局、文旅公司、城投公司、城建集团</w:t>
            </w:r>
            <w:r w:rsidRPr="00BE14DE">
              <w:rPr>
                <w:rFonts w:ascii="Times New Roman" w:eastAsia="方正仿宋简体" w:hAnsi="Times New Roman" w:cs="Times New Roman" w:hint="eastAsia"/>
                <w:kern w:val="0"/>
                <w:szCs w:val="21"/>
              </w:rPr>
              <w:t>等相关单位，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706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21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加快城市管道更新改造，推进海绵城市雨污分流项目建设。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住建局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73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22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改造文化路及开发区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6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条道路。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住建局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73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23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继续实施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三改一通一落地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项目。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住建局、</w:t>
            </w:r>
          </w:p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城棚改事务中心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73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24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改造华清池家属院、供电所小区等老旧小区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4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个。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住建局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73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25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提升姜寨北路等背街小巷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6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条。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住建局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骊山街办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73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26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完成回迁安置项目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22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个。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城棚改事务中心、</w:t>
            </w:r>
          </w:p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各项目责任单位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发改委、住建局、水务局、资源规划分局、供电分公司、华润燃气公司及相关街办（园区）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2023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年底</w:t>
            </w:r>
          </w:p>
        </w:tc>
      </w:tr>
      <w:tr w:rsidR="00BE14DE" w:rsidRPr="00BE14DE" w:rsidTr="007A757E">
        <w:trPr>
          <w:cantSplit/>
          <w:trHeight w:val="606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27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新增城市公共停车位不少于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2000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个。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住建局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73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28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完成西禹高速改扩建主体工程。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交运局</w:t>
            </w:r>
          </w:p>
        </w:tc>
        <w:tc>
          <w:tcPr>
            <w:tcW w:w="2318" w:type="dxa"/>
            <w:gridSpan w:val="2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发改委、资源规划分局、相关街办（园区）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</w:tbl>
    <w:p w:rsidR="00BE14DE" w:rsidRPr="00BE14DE" w:rsidRDefault="00BE14DE" w:rsidP="00BE14DE">
      <w:pPr>
        <w:spacing w:line="240" w:lineRule="auto"/>
        <w:rPr>
          <w:rFonts w:ascii="Times New Roman" w:eastAsia="宋体" w:hAnsi="Times New Roman" w:cs="Times New Roman"/>
          <w:szCs w:val="24"/>
        </w:rPr>
      </w:pPr>
    </w:p>
    <w:tbl>
      <w:tblPr>
        <w:tblW w:w="14401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5"/>
        <w:gridCol w:w="5592"/>
        <w:gridCol w:w="1815"/>
        <w:gridCol w:w="2168"/>
        <w:gridCol w:w="2318"/>
        <w:gridCol w:w="1613"/>
      </w:tblGrid>
      <w:tr w:rsidR="00BE14DE" w:rsidRPr="00BE14DE" w:rsidTr="007A757E">
        <w:trPr>
          <w:cantSplit/>
          <w:trHeight w:val="73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29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加快推进兵马俑专线改扩建项目。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孟俊平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交运局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发改委、资源规划分局、相关街办（园区）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73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30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启动凤凰大道连接西安东三环工程。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交运局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发改委、资源规划分局、相关街办（园区）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73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31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实施李家河引水工程韩峪配水厂及配套管网工程。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王鹏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水务局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73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32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持续开展建筑垃圾综合整治工作，推进建筑垃圾资源化利用项目，破解垃圾消纳难题。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城管局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公安分局、交运局、</w:t>
            </w:r>
          </w:p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73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33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常态化开展城市精细化管理，发挥数字城管平台作用，建立群防群治机制，营造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人民城市人民建、建好城市为人民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浓厚氛围。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城管局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421"/>
        </w:trPr>
        <w:tc>
          <w:tcPr>
            <w:tcW w:w="14401" w:type="dxa"/>
            <w:gridSpan w:val="6"/>
            <w:vAlign w:val="center"/>
          </w:tcPr>
          <w:p w:rsidR="00BE14DE" w:rsidRPr="00BE14DE" w:rsidRDefault="00BE14DE" w:rsidP="00BE14DE">
            <w:pPr>
              <w:widowControl/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36"/>
                <w:szCs w:val="21"/>
              </w:rPr>
            </w:pPr>
            <w:r w:rsidRPr="00BE14DE">
              <w:rPr>
                <w:rFonts w:ascii="黑体" w:eastAsia="黑体" w:hAnsi="黑体" w:cs="Times New Roman" w:hint="eastAsia"/>
                <w:kern w:val="0"/>
                <w:sz w:val="36"/>
                <w:szCs w:val="21"/>
              </w:rPr>
              <w:t>五、聚焦实体经济，多措并举扩总量、提质量</w:t>
            </w:r>
          </w:p>
        </w:tc>
      </w:tr>
      <w:tr w:rsidR="00BE14DE" w:rsidRPr="00BE14DE" w:rsidTr="007A757E">
        <w:trPr>
          <w:cantSplit/>
          <w:trHeight w:val="427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34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启动西安赛特高端稀有金属棒丝材、东方蓝天航空航天高端紧固件等项目建设，加快推进福贞制罐、海尔虚实网产业园、易商汽车后市场产业园等项目建设。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魏养毅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现代工业新城管委会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发改委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按照目标任务计划推进</w:t>
            </w:r>
          </w:p>
        </w:tc>
      </w:tr>
      <w:tr w:rsidR="00BE14DE" w:rsidRPr="00BE14DE" w:rsidTr="007A757E">
        <w:trPr>
          <w:cantSplit/>
          <w:trHeight w:val="561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35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组织开展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产学研金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协同创新活动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6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场。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霍炳男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科工商务局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395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36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依托伊思灵华泰、美泰汽车等创新型企业，着力打造渭北新城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秦创原先进制造业示范带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科工商务局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现代工业新城管委会</w:t>
            </w:r>
          </w:p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及各相关单位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415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37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新增高新技术企业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10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家。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科工商务局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421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38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深入开展亲商助企活动，强化退库企业、临规企业支持力度，新增规上企业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13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家。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科工商务局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798"/>
        </w:trPr>
        <w:tc>
          <w:tcPr>
            <w:tcW w:w="14401" w:type="dxa"/>
            <w:gridSpan w:val="6"/>
            <w:vAlign w:val="center"/>
          </w:tcPr>
          <w:p w:rsidR="00BE14DE" w:rsidRPr="00BE14DE" w:rsidRDefault="00BE14DE" w:rsidP="00BE14DE">
            <w:pPr>
              <w:widowControl/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36"/>
                <w:szCs w:val="21"/>
              </w:rPr>
            </w:pPr>
            <w:r w:rsidRPr="00BE14DE">
              <w:rPr>
                <w:rFonts w:ascii="黑体" w:eastAsia="黑体" w:hAnsi="黑体" w:cs="Times New Roman" w:hint="eastAsia"/>
                <w:kern w:val="0"/>
                <w:sz w:val="36"/>
                <w:szCs w:val="21"/>
              </w:rPr>
              <w:lastRenderedPageBreak/>
              <w:t>六、聚焦文化旅游，挖潜增效提品质、创一流</w:t>
            </w:r>
          </w:p>
        </w:tc>
      </w:tr>
      <w:tr w:rsidR="00BE14DE" w:rsidRPr="00BE14DE" w:rsidTr="007A757E">
        <w:trPr>
          <w:cantSplit/>
          <w:trHeight w:val="535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39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建成运营和光怀雅温泉酒店。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4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张超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spacing w:line="4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斜口街办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535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40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建成运营大秦骊宫温泉酒店。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4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spacing w:line="4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骊山街办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561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41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围绕华清宫景区打造夜间文化旅游集聚区。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文旅局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科工商务局等相关单位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583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42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启动秦始皇陵外城垣遗址保护展示工程建设。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文旅局（文物局）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343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43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实施民宿经济发展三年行动计划，创建市级乡村旅游示范村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1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个、等级民宿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2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家。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文旅局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617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44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加快实施柏家山乡村振兴项目，推动生态旅游发展。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王鹏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文旅公司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文旅局、乡村振兴局等相关单位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549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45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做强做实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一码游临潼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建设清单，整合旅游资源，推动数字经济与文旅产业深度融合。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张超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文旅</w:t>
            </w:r>
            <w:r w:rsidRPr="00BE14DE">
              <w:rPr>
                <w:rFonts w:ascii="Times New Roman" w:eastAsia="方正仿宋简体" w:hAnsi="Times New Roman" w:cs="Times New Roman" w:hint="eastAsia"/>
                <w:szCs w:val="21"/>
              </w:rPr>
              <w:t>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50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46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构建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互联网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+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文旅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智慧服务体系和旅游市场网格化管理机制，打造安全有序舒心的旅游市场环境。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文旅局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市场监管局等相关单位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508"/>
        </w:trPr>
        <w:tc>
          <w:tcPr>
            <w:tcW w:w="14401" w:type="dxa"/>
            <w:gridSpan w:val="6"/>
            <w:vAlign w:val="center"/>
          </w:tcPr>
          <w:p w:rsidR="00BE14DE" w:rsidRPr="00BE14DE" w:rsidRDefault="00BE14DE" w:rsidP="00BE14DE">
            <w:pPr>
              <w:widowControl/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36"/>
                <w:szCs w:val="21"/>
              </w:rPr>
            </w:pPr>
            <w:r w:rsidRPr="00BE14DE">
              <w:rPr>
                <w:rFonts w:ascii="黑体" w:eastAsia="黑体" w:hAnsi="黑体" w:cs="Times New Roman" w:hint="eastAsia"/>
                <w:kern w:val="0"/>
                <w:sz w:val="36"/>
                <w:szCs w:val="21"/>
              </w:rPr>
              <w:t>七、聚焦农业生产，多点发力保底线、助升级</w:t>
            </w:r>
          </w:p>
        </w:tc>
      </w:tr>
      <w:tr w:rsidR="00BE14DE" w:rsidRPr="00BE14DE" w:rsidTr="007A757E">
        <w:trPr>
          <w:cantSplit/>
          <w:trHeight w:val="587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47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建设高标准农田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2.5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万亩。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王鹏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农业农村局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587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48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打造马额村、南张村、郭桥村粮食生产示范基地。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农业农村局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587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49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完成粮食生产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30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万吨，蔬菜产量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53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万吨。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农业农村局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455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lastRenderedPageBreak/>
              <w:t>50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加强石榴、火晶柿子品牌建设。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农业农村局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455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51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加快实施省级番茄智慧谷产业园项目。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乡村振兴局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455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52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果业面积稳定在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7.5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万亩，产量达到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8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万吨。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农业农村局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549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53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围绕银桥奶业产业链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链主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核心，促进优质奶源基地建设，推进畜牧业从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增量型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向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高质量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发展。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王鹏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农业农村局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549"/>
        </w:trPr>
        <w:tc>
          <w:tcPr>
            <w:tcW w:w="14401" w:type="dxa"/>
            <w:gridSpan w:val="6"/>
            <w:vAlign w:val="center"/>
          </w:tcPr>
          <w:p w:rsidR="00BE14DE" w:rsidRPr="00BE14DE" w:rsidRDefault="00BE14DE" w:rsidP="00BE14DE">
            <w:pPr>
              <w:widowControl/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36"/>
                <w:szCs w:val="21"/>
              </w:rPr>
            </w:pPr>
            <w:r w:rsidRPr="00BE14DE">
              <w:rPr>
                <w:rFonts w:ascii="黑体" w:eastAsia="黑体" w:hAnsi="黑体" w:cs="Times New Roman" w:hint="eastAsia"/>
                <w:kern w:val="0"/>
                <w:sz w:val="36"/>
                <w:szCs w:val="21"/>
              </w:rPr>
              <w:t>八、聚焦乡村建设，协调推进强基础、促振兴</w:t>
            </w:r>
          </w:p>
        </w:tc>
      </w:tr>
      <w:tr w:rsidR="00BE14DE" w:rsidRPr="00BE14DE" w:rsidTr="007A757E">
        <w:trPr>
          <w:cantSplit/>
          <w:trHeight w:val="511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54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巩固拓展脱贫攻坚成果，扎实做好动态监测和帮扶，坚决守住不发生规模性返贫底线。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王鹏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乡村振兴局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465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55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加强农村人居环境整治，新建农村户厕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4450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座。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农业农村局（人居办）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465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56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完成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78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个行政村农村生活污水治理项目。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水务局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465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57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农村生活污水有效治理率达到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75%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张超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生态环境分局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465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58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生活垃圾无害化处理率达到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100%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，实现干净整洁村全覆盖。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王鹏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城管局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465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59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全力建设零口、代王省级乡村振兴示范镇，新丰省级、市级跟踪指导重点镇，铁炉、栎阳市级环境整治提升镇，穆寨、仁宗美丽村庄示范片区。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孟俊平</w:t>
            </w:r>
          </w:p>
        </w:tc>
        <w:tc>
          <w:tcPr>
            <w:tcW w:w="2168" w:type="dxa"/>
            <w:vMerge w:val="restart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住建局</w:t>
            </w:r>
          </w:p>
        </w:tc>
        <w:tc>
          <w:tcPr>
            <w:tcW w:w="2318" w:type="dxa"/>
            <w:vMerge w:val="restart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发改委、财政局、农业农村局、乡村振兴局、秦保局、资源规划分局等相关单位，各相关街办</w:t>
            </w:r>
          </w:p>
        </w:tc>
        <w:tc>
          <w:tcPr>
            <w:tcW w:w="1613" w:type="dxa"/>
            <w:vMerge w:val="restart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465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建成市级美丽村庄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70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个、省级宜居示范村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4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个。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318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</w:tr>
      <w:tr w:rsidR="00BE14DE" w:rsidRPr="00BE14DE" w:rsidTr="007A757E">
        <w:trPr>
          <w:cantSplit/>
          <w:trHeight w:val="453"/>
        </w:trPr>
        <w:tc>
          <w:tcPr>
            <w:tcW w:w="14401" w:type="dxa"/>
            <w:gridSpan w:val="6"/>
            <w:vAlign w:val="center"/>
          </w:tcPr>
          <w:p w:rsidR="00BE14DE" w:rsidRPr="00BE14DE" w:rsidRDefault="00BE14DE" w:rsidP="00BE14DE">
            <w:pPr>
              <w:widowControl/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36"/>
                <w:szCs w:val="21"/>
              </w:rPr>
            </w:pPr>
            <w:r w:rsidRPr="00BE14DE">
              <w:rPr>
                <w:rFonts w:ascii="黑体" w:eastAsia="黑体" w:hAnsi="黑体" w:cs="Times New Roman" w:hint="eastAsia"/>
                <w:kern w:val="0"/>
                <w:sz w:val="36"/>
                <w:szCs w:val="21"/>
              </w:rPr>
              <w:t>九、聚焦营商环境，千方百计提效能、优服务</w:t>
            </w:r>
          </w:p>
        </w:tc>
      </w:tr>
      <w:tr w:rsidR="00BE14DE" w:rsidRPr="00BE14DE" w:rsidTr="007A757E">
        <w:trPr>
          <w:cantSplit/>
          <w:trHeight w:val="41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61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加强政务服务管理，实现政务服务清单标准化、场所规范化、管理一体化。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魏养毅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行政审批局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487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lastRenderedPageBreak/>
              <w:t>62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26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深化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一件事一次办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和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一业一证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系统集成改革，推动跨部门、跨业务、跨区域协同办理。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行政审批局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557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63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深化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五微一体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服务，打造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临小二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服务品牌，推动政务服务从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一网通办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迈向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一网好办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行政审批局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651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64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深化基层便民服务中心建设，办好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“8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号流动办公桌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，切实减少企业群众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跑办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次数，进一步提升市场主体便利度和企业群众满意度。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行政审批局、民政局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651"/>
        </w:trPr>
        <w:tc>
          <w:tcPr>
            <w:tcW w:w="14401" w:type="dxa"/>
            <w:gridSpan w:val="6"/>
            <w:vAlign w:val="center"/>
          </w:tcPr>
          <w:p w:rsidR="00BE14DE" w:rsidRPr="00BE14DE" w:rsidRDefault="00BE14DE" w:rsidP="00BE14DE">
            <w:pPr>
              <w:widowControl/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36"/>
                <w:szCs w:val="21"/>
              </w:rPr>
            </w:pPr>
            <w:r w:rsidRPr="00BE14DE">
              <w:rPr>
                <w:rFonts w:ascii="黑体" w:eastAsia="黑体" w:hAnsi="黑体" w:cs="Times New Roman" w:hint="eastAsia"/>
                <w:kern w:val="0"/>
                <w:sz w:val="36"/>
                <w:szCs w:val="21"/>
              </w:rPr>
              <w:t>十、聚焦绿色低碳，持之以恒护生态、美环境</w:t>
            </w:r>
          </w:p>
        </w:tc>
      </w:tr>
      <w:tr w:rsidR="00BE14DE" w:rsidRPr="00BE14DE" w:rsidTr="007A757E">
        <w:trPr>
          <w:cantSplit/>
          <w:trHeight w:val="887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65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全面落实重点污染源管控和重污染天气应急响应，探索农业废弃物综合利用途径，严禁露天焚烧，改善空气质量。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张超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生态环境分局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126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66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坚决落实《条例》《规划》，全面建立三级林长制运行体制，发挥智慧秦岭管控中心和网格化管理作用，实施秦岭北麓植被恢复造林工程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1000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亩。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秦保局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663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67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加快推进三里河流域水环境综合整治。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王鹏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水务局</w:t>
            </w:r>
            <w:r w:rsidRPr="00BE14DE">
              <w:rPr>
                <w:rFonts w:ascii="Times New Roman" w:eastAsia="方正仿宋简体" w:hAnsi="Times New Roman" w:cs="Times New Roman" w:hint="eastAsia"/>
                <w:kern w:val="0"/>
                <w:szCs w:val="21"/>
              </w:rPr>
              <w:t>、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新区管委会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行者街办、西泉街办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663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68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加快推进零河水库清淤工程。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水务局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零口街办等相关单位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663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69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加快推进石川河堤防工程。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水务局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663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70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确保渭河临潼段水质稳定达到地表</w:t>
            </w:r>
            <w:r w:rsidRPr="00BE14DE">
              <w:rPr>
                <w:rFonts w:ascii="宋体" w:eastAsia="宋体" w:hAnsi="宋体" w:cs="宋体" w:hint="eastAsia"/>
                <w:szCs w:val="21"/>
              </w:rPr>
              <w:t>Ⅲ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类。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张超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生态环境分局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水务局、各相关街办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701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71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全面推行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一单三罚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，持续开展环保督察反馈问题整改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“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回头看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”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，杜绝反弹回潮。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生态环境分局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701"/>
        </w:trPr>
        <w:tc>
          <w:tcPr>
            <w:tcW w:w="14401" w:type="dxa"/>
            <w:gridSpan w:val="6"/>
            <w:vAlign w:val="center"/>
          </w:tcPr>
          <w:p w:rsidR="00BE14DE" w:rsidRPr="00BE14DE" w:rsidRDefault="00BE14DE" w:rsidP="00BE14DE">
            <w:pPr>
              <w:widowControl/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36"/>
                <w:szCs w:val="21"/>
              </w:rPr>
            </w:pPr>
            <w:r w:rsidRPr="00BE14DE">
              <w:rPr>
                <w:rFonts w:ascii="黑体" w:eastAsia="黑体" w:hAnsi="黑体" w:cs="Times New Roman" w:hint="eastAsia"/>
                <w:kern w:val="0"/>
                <w:sz w:val="36"/>
                <w:szCs w:val="21"/>
              </w:rPr>
              <w:lastRenderedPageBreak/>
              <w:t>十一、聚焦共同富裕，倾情尽力惠民生、增福祉</w:t>
            </w:r>
          </w:p>
        </w:tc>
      </w:tr>
      <w:tr w:rsidR="00BE14DE" w:rsidRPr="00BE14DE" w:rsidTr="007A757E">
        <w:trPr>
          <w:cantSplit/>
          <w:trHeight w:val="629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72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完成职业技能培训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2000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人以上。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魏养毅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人社局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629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73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城镇新增就业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6850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人以上。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bookmarkStart w:id="0" w:name="_GoBack"/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人社局</w:t>
            </w:r>
            <w:bookmarkEnd w:id="0"/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1260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74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新建、改扩建学校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所，增加学位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6780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个。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薛凡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教育局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财政局、住建局、城棚改事务中心、新区管委会、城市建设运营有限公司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569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75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创建省级示范幼儿园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1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所、市级幼儿园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2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所。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教育局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629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76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加快推进区中医院整体迁建，实施区人民医院、区公卫中心和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26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家社区医院改扩建，推动区人民医院与交大二附院渭北综合医院合作，建立紧密型医联体。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卫健局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32"/>
              </w:rPr>
              <w:t>发改委、财政局、文旅局、资源规划分局、新区管委会、度假区发展服务中心、城市建设运营有限公司、代王街办、新丰街办、相桥街办、穆寨街办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2834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lastRenderedPageBreak/>
              <w:t>77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建设街道养老服务中心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4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个，新建、改建社区养老服务站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9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个、农村敬老院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3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个。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民政局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spacing w:line="240" w:lineRule="auto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文旅局、资源规划分局、城市建设运营有限公司、骊山街办、斜口街办、秦陵街办、代王街办、新丰街办、行者街办、栎阳街办、马额街办、西泉街办、何寨街办、徐杨街办、交口街办、穆寨街办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554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78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建成投用区退役军人服务中心，提高退役军人服务保障水平。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高少军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退役军人事务局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财政局、住建局、水务局、资源规划分局、机关事务中心、供电分公司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509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79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加快推进灾后重建工程。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魏养毅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发改委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  <w:tr w:rsidR="00BE14DE" w:rsidRPr="00BE14DE" w:rsidTr="007A757E">
        <w:trPr>
          <w:cantSplit/>
          <w:trHeight w:val="561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80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完成水毁道路修复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233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处。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孟俊平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交运局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561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lastRenderedPageBreak/>
              <w:t>81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完成水库加固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18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处。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王鹏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水务局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2023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年底</w:t>
            </w:r>
          </w:p>
        </w:tc>
      </w:tr>
      <w:tr w:rsidR="00BE14DE" w:rsidRPr="00BE14DE" w:rsidTr="007A757E">
        <w:trPr>
          <w:cantSplit/>
          <w:trHeight w:val="561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82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完成危房改造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54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处。</w:t>
            </w:r>
          </w:p>
        </w:tc>
        <w:tc>
          <w:tcPr>
            <w:tcW w:w="181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孟俊平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住建局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978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83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完成地质灾害点整治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6</w:t>
            </w:r>
            <w:r w:rsidRPr="00BE14DE">
              <w:rPr>
                <w:rFonts w:ascii="Times New Roman" w:eastAsia="方正仿宋简体" w:hAnsi="Times New Roman" w:cs="Times New Roman"/>
                <w:szCs w:val="21"/>
              </w:rPr>
              <w:t>处。</w:t>
            </w:r>
          </w:p>
        </w:tc>
        <w:tc>
          <w:tcPr>
            <w:tcW w:w="1815" w:type="dxa"/>
            <w:vMerge w:val="restart"/>
            <w:vAlign w:val="center"/>
          </w:tcPr>
          <w:p w:rsidR="00BE14DE" w:rsidRPr="00BE14DE" w:rsidRDefault="00BE14DE" w:rsidP="00BE14DE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魏养毅</w:t>
            </w: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资源规划分局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各相关街办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12</w:t>
            </w: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月底</w:t>
            </w:r>
          </w:p>
        </w:tc>
      </w:tr>
      <w:tr w:rsidR="00BE14DE" w:rsidRPr="00BE14DE" w:rsidTr="007A757E">
        <w:trPr>
          <w:cantSplit/>
          <w:trHeight w:val="561"/>
        </w:trPr>
        <w:tc>
          <w:tcPr>
            <w:tcW w:w="895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84</w:t>
            </w:r>
          </w:p>
        </w:tc>
        <w:tc>
          <w:tcPr>
            <w:tcW w:w="5592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rPr>
                <w:rFonts w:ascii="Times New Roman" w:eastAsia="方正仿宋简体" w:hAnsi="Times New Roman" w:cs="Times New Roman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szCs w:val="21"/>
              </w:rPr>
              <w:t>扎实开展安全生产专项整治三年行动，深化安全生产隐患大排查大整治，坚决遏制重特大安全事故发生。</w:t>
            </w:r>
          </w:p>
        </w:tc>
        <w:tc>
          <w:tcPr>
            <w:tcW w:w="1815" w:type="dxa"/>
            <w:vMerge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应急管理局</w:t>
            </w:r>
          </w:p>
        </w:tc>
        <w:tc>
          <w:tcPr>
            <w:tcW w:w="2318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区安委会各成员单位</w:t>
            </w:r>
          </w:p>
        </w:tc>
        <w:tc>
          <w:tcPr>
            <w:tcW w:w="1613" w:type="dxa"/>
            <w:vAlign w:val="center"/>
          </w:tcPr>
          <w:p w:rsidR="00BE14DE" w:rsidRPr="00BE14DE" w:rsidRDefault="00BE14DE" w:rsidP="00BE14D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E14DE">
              <w:rPr>
                <w:rFonts w:ascii="Times New Roman" w:eastAsia="方正仿宋简体" w:hAnsi="Times New Roman" w:cs="Times New Roman"/>
                <w:kern w:val="0"/>
                <w:szCs w:val="21"/>
              </w:rPr>
              <w:t>全年</w:t>
            </w:r>
          </w:p>
        </w:tc>
      </w:tr>
    </w:tbl>
    <w:p w:rsidR="00EC44FB" w:rsidRPr="00BE14DE" w:rsidRDefault="00EC44FB" w:rsidP="00BE14DE"/>
    <w:sectPr w:rsidR="00EC44FB" w:rsidRPr="00BE14DE" w:rsidSect="00BE14DE">
      <w:footerReference w:type="even" r:id="rId7"/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545F" w:rsidRDefault="0078545F" w:rsidP="00E6082F">
      <w:pPr>
        <w:spacing w:line="240" w:lineRule="auto"/>
      </w:pPr>
      <w:r>
        <w:separator/>
      </w:r>
    </w:p>
  </w:endnote>
  <w:endnote w:type="continuationSeparator" w:id="1">
    <w:p w:rsidR="0078545F" w:rsidRDefault="0078545F" w:rsidP="00E6082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943DBE">
    <w:pPr>
      <w:pStyle w:val="a4"/>
      <w:spacing w:line="400" w:lineRule="exact"/>
      <w:ind w:right="561" w:firstLineChars="50" w:firstLine="140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691853" w:rsidRPr="00CA2713">
      <w:rPr>
        <w:rFonts w:ascii="宋体" w:eastAsia="宋体" w:hAnsi="宋体" w:cs="宋体"/>
        <w:noProof/>
        <w:sz w:val="28"/>
        <w:szCs w:val="28"/>
        <w:lang w:val="zh-CN"/>
      </w:rPr>
      <w:t>-</w:t>
    </w:r>
    <w:r w:rsidR="00691853">
      <w:rPr>
        <w:rFonts w:ascii="宋体" w:eastAsia="宋体" w:hAnsi="宋体" w:cs="宋体"/>
        <w:noProof/>
        <w:sz w:val="28"/>
        <w:szCs w:val="28"/>
      </w:rPr>
      <w:t xml:space="preserve"> 10 -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943DBE">
    <w:pPr>
      <w:pStyle w:val="a4"/>
      <w:spacing w:line="400" w:lineRule="exact"/>
      <w:ind w:right="141" w:firstLineChars="50" w:firstLine="140"/>
      <w:jc w:val="right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BE14DE" w:rsidRPr="00BE14DE">
      <w:rPr>
        <w:rFonts w:ascii="宋体" w:eastAsia="宋体" w:hAnsi="宋体" w:cs="宋体"/>
        <w:noProof/>
        <w:sz w:val="28"/>
        <w:szCs w:val="28"/>
        <w:lang w:val="zh-CN"/>
      </w:rPr>
      <w:t>7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545F" w:rsidRDefault="0078545F" w:rsidP="00E6082F">
      <w:pPr>
        <w:spacing w:line="240" w:lineRule="auto"/>
      </w:pPr>
      <w:r>
        <w:separator/>
      </w:r>
    </w:p>
  </w:footnote>
  <w:footnote w:type="continuationSeparator" w:id="1">
    <w:p w:rsidR="0078545F" w:rsidRDefault="0078545F" w:rsidP="00E6082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82F"/>
    <w:rsid w:val="00074BB7"/>
    <w:rsid w:val="000A153D"/>
    <w:rsid w:val="000F2CE9"/>
    <w:rsid w:val="00135015"/>
    <w:rsid w:val="00164237"/>
    <w:rsid w:val="0017172A"/>
    <w:rsid w:val="001E68D8"/>
    <w:rsid w:val="001F79C9"/>
    <w:rsid w:val="00210616"/>
    <w:rsid w:val="002A554C"/>
    <w:rsid w:val="002C14D5"/>
    <w:rsid w:val="0032087B"/>
    <w:rsid w:val="003945E1"/>
    <w:rsid w:val="003974A6"/>
    <w:rsid w:val="003A3DA1"/>
    <w:rsid w:val="0040772C"/>
    <w:rsid w:val="0041005D"/>
    <w:rsid w:val="004319AD"/>
    <w:rsid w:val="0044718A"/>
    <w:rsid w:val="0047288A"/>
    <w:rsid w:val="004A20B2"/>
    <w:rsid w:val="004E6430"/>
    <w:rsid w:val="004F0A09"/>
    <w:rsid w:val="004F493E"/>
    <w:rsid w:val="005638EA"/>
    <w:rsid w:val="005743AC"/>
    <w:rsid w:val="00575CDD"/>
    <w:rsid w:val="005D3A58"/>
    <w:rsid w:val="005D7D6F"/>
    <w:rsid w:val="005E2E27"/>
    <w:rsid w:val="005E486F"/>
    <w:rsid w:val="006207C6"/>
    <w:rsid w:val="006567E0"/>
    <w:rsid w:val="00691853"/>
    <w:rsid w:val="00702475"/>
    <w:rsid w:val="00702A8A"/>
    <w:rsid w:val="0078545F"/>
    <w:rsid w:val="007A7423"/>
    <w:rsid w:val="007C5807"/>
    <w:rsid w:val="008643D4"/>
    <w:rsid w:val="008E2BF1"/>
    <w:rsid w:val="00916E64"/>
    <w:rsid w:val="0093716F"/>
    <w:rsid w:val="00943DBE"/>
    <w:rsid w:val="00957F05"/>
    <w:rsid w:val="009904BD"/>
    <w:rsid w:val="009A6493"/>
    <w:rsid w:val="009C021C"/>
    <w:rsid w:val="009D2517"/>
    <w:rsid w:val="00A66F61"/>
    <w:rsid w:val="00AA6A8F"/>
    <w:rsid w:val="00B14016"/>
    <w:rsid w:val="00B17BB8"/>
    <w:rsid w:val="00BE14DE"/>
    <w:rsid w:val="00C12759"/>
    <w:rsid w:val="00C3261F"/>
    <w:rsid w:val="00C90C83"/>
    <w:rsid w:val="00D40B18"/>
    <w:rsid w:val="00D53D67"/>
    <w:rsid w:val="00D836CE"/>
    <w:rsid w:val="00DA1335"/>
    <w:rsid w:val="00DA54A7"/>
    <w:rsid w:val="00E6082F"/>
    <w:rsid w:val="00E6711E"/>
    <w:rsid w:val="00EC44FB"/>
    <w:rsid w:val="00F727DC"/>
    <w:rsid w:val="00FA5716"/>
    <w:rsid w:val="00FB4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F"/>
    <w:pPr>
      <w:widowControl w:val="0"/>
      <w:spacing w:line="600" w:lineRule="exact"/>
      <w:jc w:val="both"/>
    </w:pPr>
  </w:style>
  <w:style w:type="paragraph" w:styleId="1">
    <w:name w:val="heading 1"/>
    <w:basedOn w:val="a"/>
    <w:next w:val="a"/>
    <w:link w:val="1Char"/>
    <w:qFormat/>
    <w:rsid w:val="00E6082F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E60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82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6082F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E6082F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E60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 Indent"/>
    <w:basedOn w:val="a"/>
    <w:link w:val="Char1"/>
    <w:uiPriority w:val="99"/>
    <w:semiHidden/>
    <w:unhideWhenUsed/>
    <w:qFormat/>
    <w:rsid w:val="00E6082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qFormat/>
    <w:rsid w:val="00E6082F"/>
  </w:style>
  <w:style w:type="paragraph" w:styleId="a7">
    <w:name w:val="Date"/>
    <w:basedOn w:val="a"/>
    <w:next w:val="a"/>
    <w:link w:val="Char2"/>
    <w:uiPriority w:val="99"/>
    <w:semiHidden/>
    <w:unhideWhenUsed/>
    <w:qFormat/>
    <w:rsid w:val="00E6082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qFormat/>
    <w:rsid w:val="00E6082F"/>
  </w:style>
  <w:style w:type="paragraph" w:styleId="2">
    <w:name w:val="Body Text First Indent 2"/>
    <w:basedOn w:val="a6"/>
    <w:link w:val="2Char"/>
    <w:uiPriority w:val="99"/>
    <w:semiHidden/>
    <w:unhideWhenUsed/>
    <w:qFormat/>
    <w:rsid w:val="00E6082F"/>
    <w:pPr>
      <w:ind w:leftChars="0" w:left="0" w:firstLine="40"/>
    </w:pPr>
    <w:rPr>
      <w:rFonts w:ascii="仿宋_GB2312" w:eastAsia="仿宋" w:hAnsi="仿宋_GB2312" w:cs="仿宋_GB2312"/>
      <w:sz w:val="32"/>
      <w:szCs w:val="32"/>
    </w:rPr>
  </w:style>
  <w:style w:type="character" w:customStyle="1" w:styleId="2Char">
    <w:name w:val="正文首行缩进 2 Char"/>
    <w:basedOn w:val="Char1"/>
    <w:link w:val="2"/>
    <w:uiPriority w:val="99"/>
    <w:semiHidden/>
    <w:qFormat/>
    <w:rsid w:val="00E6082F"/>
    <w:rPr>
      <w:rFonts w:ascii="仿宋_GB2312" w:eastAsia="仿宋" w:hAnsi="仿宋_GB2312" w:cs="仿宋_GB2312"/>
      <w:sz w:val="32"/>
      <w:szCs w:val="32"/>
    </w:rPr>
  </w:style>
  <w:style w:type="paragraph" w:styleId="a8">
    <w:name w:val="Document Map"/>
    <w:basedOn w:val="a"/>
    <w:link w:val="Char3"/>
    <w:uiPriority w:val="99"/>
    <w:semiHidden/>
    <w:unhideWhenUsed/>
    <w:rsid w:val="00E6082F"/>
    <w:rPr>
      <w:rFonts w:ascii="宋体" w:eastAsia="宋体" w:hAnsi="Calibri" w:cs="Times New Roman"/>
      <w:sz w:val="18"/>
      <w:szCs w:val="18"/>
    </w:rPr>
  </w:style>
  <w:style w:type="character" w:customStyle="1" w:styleId="Char3">
    <w:name w:val="文档结构图 Char"/>
    <w:basedOn w:val="a0"/>
    <w:link w:val="a8"/>
    <w:uiPriority w:val="99"/>
    <w:semiHidden/>
    <w:rsid w:val="00E6082F"/>
    <w:rPr>
      <w:rFonts w:ascii="宋体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E6082F"/>
    <w:pPr>
      <w:ind w:firstLineChars="200" w:firstLine="420"/>
    </w:pPr>
  </w:style>
  <w:style w:type="table" w:styleId="aa">
    <w:name w:val="Table Grid"/>
    <w:basedOn w:val="a1"/>
    <w:uiPriority w:val="59"/>
    <w:rsid w:val="00E6082F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a"/>
    <w:qFormat/>
    <w:rsid w:val="0021061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8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788</Words>
  <Characters>4493</Characters>
  <Application>Microsoft Office Word</Application>
  <DocSecurity>0</DocSecurity>
  <Lines>37</Lines>
  <Paragraphs>10</Paragraphs>
  <ScaleCrop>false</ScaleCrop>
  <Company>微软中国</Company>
  <LinksUpToDate>false</LinksUpToDate>
  <CharactersWithSpaces>5271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26</cp:revision>
  <dcterms:created xsi:type="dcterms:W3CDTF">2021-10-18T03:15:00Z</dcterms:created>
  <dcterms:modified xsi:type="dcterms:W3CDTF">2022-07-13T03:03:00Z</dcterms:modified>
</cp:coreProperties>
</file>