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Times New Roman" w:hAnsi="Times New Roman" w:eastAsia="方正小标宋简体" w:cs="Times New Roman"/>
          <w:sz w:val="44"/>
          <w:szCs w:val="44"/>
        </w:rPr>
      </w:pP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西安市临潼区户外厕所进院入户工作</w:t>
      </w: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实施方案</w:t>
      </w:r>
    </w:p>
    <w:p>
      <w:pPr>
        <w:pStyle w:val="2"/>
        <w:spacing w:line="560" w:lineRule="exact"/>
        <w:ind w:firstLine="640"/>
        <w:rPr>
          <w:rFonts w:ascii="Times New Roman" w:hAnsi="Times New Roman" w:eastAsia="方正仿宋_GB2312" w:cs="Times New Roman"/>
          <w:sz w:val="32"/>
          <w:szCs w:val="32"/>
        </w:rPr>
      </w:pP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为深入贯彻</w:t>
      </w:r>
      <w:r>
        <w:rPr>
          <w:rFonts w:ascii="Times New Roman" w:hAnsi="Times New Roman" w:eastAsia="仿宋_GB2312" w:cs="Times New Roman"/>
          <w:sz w:val="32"/>
          <w:szCs w:val="32"/>
          <w:lang w:eastAsia="zh-CN"/>
        </w:rPr>
        <w:t>中央和省市关于农村人居环境整治工作要求，</w:t>
      </w:r>
      <w:r>
        <w:rPr>
          <w:rFonts w:ascii="Times New Roman" w:hAnsi="Times New Roman" w:eastAsia="仿宋_GB2312" w:cs="Times New Roman"/>
          <w:sz w:val="32"/>
          <w:szCs w:val="32"/>
        </w:rPr>
        <w:t>全面推进乡村振兴战略</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进一步改善我</w:t>
      </w:r>
      <w:r>
        <w:rPr>
          <w:rFonts w:ascii="Times New Roman" w:hAnsi="Times New Roman" w:eastAsia="仿宋_GB2312" w:cs="Times New Roman"/>
          <w:sz w:val="32"/>
          <w:szCs w:val="32"/>
          <w:lang w:eastAsia="zh-CN"/>
        </w:rPr>
        <w:t>区</w:t>
      </w:r>
      <w:r>
        <w:rPr>
          <w:rFonts w:ascii="Times New Roman" w:hAnsi="Times New Roman" w:eastAsia="仿宋_GB2312" w:cs="Times New Roman"/>
          <w:sz w:val="32"/>
          <w:szCs w:val="32"/>
        </w:rPr>
        <w:t>农村人居环境</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努力</w:t>
      </w:r>
      <w:r>
        <w:rPr>
          <w:rFonts w:ascii="Times New Roman" w:hAnsi="Times New Roman" w:eastAsia="仿宋_GB2312" w:cs="Times New Roman"/>
          <w:sz w:val="32"/>
          <w:szCs w:val="32"/>
          <w:lang w:eastAsia="zh-CN"/>
        </w:rPr>
        <w:t>提升</w:t>
      </w:r>
      <w:r>
        <w:rPr>
          <w:rFonts w:ascii="Times New Roman" w:hAnsi="Times New Roman" w:eastAsia="仿宋_GB2312" w:cs="Times New Roman"/>
          <w:sz w:val="32"/>
          <w:szCs w:val="32"/>
        </w:rPr>
        <w:t>群众生活品质</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根据</w:t>
      </w:r>
      <w:r>
        <w:rPr>
          <w:rFonts w:ascii="Times New Roman" w:hAnsi="Times New Roman" w:eastAsia="仿宋_GB2312" w:cs="Times New Roman"/>
          <w:sz w:val="32"/>
          <w:szCs w:val="32"/>
          <w:lang w:eastAsia="zh-CN"/>
        </w:rPr>
        <w:t>《西安市临潼区新一轮农村人居环境整治提升行动方案》文件精神，结合我区实际，</w:t>
      </w:r>
      <w:r>
        <w:rPr>
          <w:rFonts w:ascii="Times New Roman" w:hAnsi="Times New Roman" w:eastAsia="仿宋_GB2312" w:cs="Times New Roman"/>
          <w:sz w:val="32"/>
          <w:szCs w:val="32"/>
        </w:rPr>
        <w:t>制定</w:t>
      </w:r>
      <w:r>
        <w:rPr>
          <w:rFonts w:ascii="Times New Roman" w:hAnsi="Times New Roman" w:eastAsia="仿宋_GB2312" w:cs="Times New Roman"/>
          <w:sz w:val="32"/>
          <w:szCs w:val="32"/>
          <w:lang w:eastAsia="zh-CN"/>
        </w:rPr>
        <w:t>本</w:t>
      </w:r>
      <w:r>
        <w:rPr>
          <w:rFonts w:ascii="Times New Roman" w:hAnsi="Times New Roman" w:eastAsia="仿宋_GB2312" w:cs="Times New Roman"/>
          <w:sz w:val="32"/>
          <w:szCs w:val="32"/>
        </w:rPr>
        <w:t>实施方案</w:t>
      </w:r>
      <w:r>
        <w:rPr>
          <w:rFonts w:ascii="Times New Roman" w:hAnsi="Times New Roman" w:eastAsia="仿宋_GB2312" w:cs="Times New Roman"/>
          <w:sz w:val="32"/>
          <w:szCs w:val="32"/>
          <w:lang w:eastAsia="zh-CN"/>
        </w:rPr>
        <w:t>。</w:t>
      </w:r>
    </w:p>
    <w:p>
      <w:pPr>
        <w:pStyle w:val="8"/>
        <w:tabs>
          <w:tab w:val="left" w:pos="1394"/>
        </w:tabs>
        <w:spacing w:line="560" w:lineRule="exact"/>
        <w:ind w:firstLine="640" w:firstLineChars="200"/>
        <w:rPr>
          <w:rFonts w:ascii="Times New Roman" w:hAnsi="Times New Roman" w:eastAsia="黑体" w:cs="Times New Roman"/>
          <w:sz w:val="32"/>
          <w:szCs w:val="32"/>
        </w:rPr>
      </w:pPr>
      <w:bookmarkStart w:id="0" w:name="bookmark10"/>
      <w:r>
        <w:rPr>
          <w:rFonts w:ascii="Times New Roman" w:hAnsi="Times New Roman" w:eastAsia="黑体" w:cs="Times New Roman"/>
          <w:sz w:val="32"/>
          <w:szCs w:val="32"/>
        </w:rPr>
        <w:t>一</w:t>
      </w:r>
      <w:bookmarkEnd w:id="0"/>
      <w:r>
        <w:rPr>
          <w:rFonts w:ascii="Times New Roman" w:hAnsi="Times New Roman" w:eastAsia="黑体" w:cs="Times New Roman"/>
          <w:sz w:val="32"/>
          <w:szCs w:val="32"/>
        </w:rPr>
        <w:t>、指导思想</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深入贯彻习近平总书记来陕考察重要讲话重要指示精神</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按照扎实稳妥推进乡村建设的相关要求</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围绕乡村建设行动</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聚焦农村</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厕所革命</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按照“因地制宜、突出重点、梯次推进、全面落实”的基本思路</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全力推进户外厕所进院入户工作</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为建设宜居宜业的美丽临潼提供有力支撑</w:t>
      </w:r>
      <w:r>
        <w:rPr>
          <w:rFonts w:ascii="Times New Roman" w:hAnsi="Times New Roman" w:eastAsia="仿宋_GB2312" w:cs="Times New Roman"/>
          <w:sz w:val="32"/>
          <w:szCs w:val="32"/>
          <w:lang w:eastAsia="zh-CN"/>
        </w:rPr>
        <w:t>。</w:t>
      </w:r>
    </w:p>
    <w:p>
      <w:pPr>
        <w:pStyle w:val="8"/>
        <w:tabs>
          <w:tab w:val="left" w:pos="1394"/>
        </w:tabs>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lang w:eastAsia="zh-CN"/>
        </w:rPr>
        <w:t>二、目标</w:t>
      </w:r>
      <w:r>
        <w:rPr>
          <w:rFonts w:ascii="Times New Roman" w:hAnsi="Times New Roman" w:eastAsia="黑体" w:cs="Times New Roman"/>
          <w:sz w:val="32"/>
          <w:szCs w:val="32"/>
        </w:rPr>
        <w:t>任务</w:t>
      </w:r>
    </w:p>
    <w:p>
      <w:pPr>
        <w:pStyle w:val="8"/>
        <w:tabs>
          <w:tab w:val="left" w:pos="1394"/>
        </w:tabs>
        <w:spacing w:line="560" w:lineRule="exact"/>
        <w:ind w:firstLine="640" w:firstLineChars="200"/>
        <w:rPr>
          <w:rFonts w:ascii="Times New Roman" w:hAnsi="Times New Roman" w:eastAsia="楷体_GB2312" w:cs="Times New Roman"/>
          <w:sz w:val="32"/>
          <w:szCs w:val="32"/>
          <w:lang w:val="en-US" w:eastAsia="zh-CN" w:bidi="ar-SA"/>
        </w:rPr>
      </w:pPr>
      <w:r>
        <w:rPr>
          <w:rFonts w:ascii="Times New Roman" w:hAnsi="Times New Roman" w:eastAsia="楷体_GB2312" w:cs="Times New Roman"/>
          <w:sz w:val="32"/>
          <w:szCs w:val="32"/>
          <w:lang w:val="en-US" w:eastAsia="zh-CN" w:bidi="ar-SA"/>
        </w:rPr>
        <w:t>（一）工作任务</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全区所有行政村户外厕所全部进院入户</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共计86688座</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其中：已享受国家户厕改造补助政策的共48582座</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占比56%</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未享受国家补助政策共38106座</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占比44%</w:t>
      </w:r>
      <w:r>
        <w:rPr>
          <w:rFonts w:ascii="Times New Roman" w:hAnsi="Times New Roman" w:eastAsia="仿宋_GB2312" w:cs="Times New Roman"/>
          <w:sz w:val="32"/>
          <w:szCs w:val="32"/>
          <w:lang w:eastAsia="zh-CN"/>
        </w:rPr>
        <w:t>。</w:t>
      </w:r>
    </w:p>
    <w:p>
      <w:pPr>
        <w:pStyle w:val="8"/>
        <w:numPr>
          <w:ilvl w:val="0"/>
          <w:numId w:val="1"/>
        </w:numPr>
        <w:tabs>
          <w:tab w:val="left" w:pos="987"/>
        </w:tabs>
        <w:spacing w:line="560" w:lineRule="exact"/>
        <w:ind w:firstLine="640" w:firstLineChars="200"/>
        <w:rPr>
          <w:rFonts w:ascii="Times New Roman" w:hAnsi="Times New Roman" w:eastAsia="楷体_GB2312" w:cs="Times New Roman"/>
          <w:sz w:val="32"/>
          <w:szCs w:val="32"/>
          <w:lang w:val="en-US" w:eastAsia="zh-CN" w:bidi="ar-SA"/>
        </w:rPr>
      </w:pPr>
      <w:bookmarkStart w:id="1" w:name="bookmark14"/>
      <w:bookmarkEnd w:id="1"/>
      <w:bookmarkStart w:id="2" w:name="bookmark13"/>
      <w:bookmarkEnd w:id="2"/>
      <w:r>
        <w:rPr>
          <w:rFonts w:ascii="Times New Roman" w:hAnsi="Times New Roman" w:eastAsia="楷体_GB2312" w:cs="Times New Roman"/>
          <w:sz w:val="32"/>
          <w:szCs w:val="32"/>
          <w:lang w:val="en-US" w:eastAsia="zh-CN" w:bidi="ar-SA"/>
        </w:rPr>
        <w:t>工作标准</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户外厕所进院入户推行水冲式卫生厕所</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主要包括完整上下水道水冲式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三格化粪池</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双瓮漏斗式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三联通沼气池式等</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厕屋进院入户</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入室</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厕具达到建设标准且粪污得到无害化处理</w:t>
      </w:r>
      <w:r>
        <w:rPr>
          <w:rFonts w:ascii="Times New Roman" w:hAnsi="Times New Roman" w:eastAsia="仿宋_GB2312" w:cs="Times New Roman"/>
          <w:sz w:val="32"/>
          <w:szCs w:val="32"/>
          <w:lang w:eastAsia="zh-CN"/>
        </w:rPr>
        <w:t>。</w:t>
      </w:r>
    </w:p>
    <w:p>
      <w:pPr>
        <w:pStyle w:val="8"/>
        <w:numPr>
          <w:ilvl w:val="0"/>
          <w:numId w:val="1"/>
        </w:numPr>
        <w:tabs>
          <w:tab w:val="left" w:pos="987"/>
        </w:tabs>
        <w:spacing w:line="560" w:lineRule="exact"/>
        <w:ind w:firstLine="640" w:firstLineChars="200"/>
        <w:rPr>
          <w:rFonts w:ascii="Times New Roman" w:hAnsi="Times New Roman" w:eastAsia="方正楷体_GB2312" w:cs="Times New Roman"/>
          <w:sz w:val="32"/>
          <w:szCs w:val="32"/>
          <w:lang w:val="en-US" w:eastAsia="zh-CN"/>
        </w:rPr>
      </w:pPr>
      <w:r>
        <w:rPr>
          <w:rFonts w:ascii="Times New Roman" w:hAnsi="Times New Roman" w:eastAsia="楷体_GB2312" w:cs="Times New Roman"/>
          <w:sz w:val="32"/>
          <w:szCs w:val="32"/>
          <w:lang w:val="en-US" w:eastAsia="zh-CN" w:bidi="ar-SA"/>
        </w:rPr>
        <w:t>维护工作</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做好改厕后续长效运行管护</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粪污无害化处理和资源化利用工作</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由区农业农村局采购一批吸粪车（具体数量根据各街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实际建设户厕数量决定）</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配发各街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由各街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指定专人或村组运营</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负责本辖区粪污清运工作</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清运费必须低于市场价格</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具体细则各街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依据实际自行制定</w:t>
      </w:r>
      <w:r>
        <w:rPr>
          <w:rFonts w:ascii="Times New Roman" w:hAnsi="Times New Roman" w:eastAsia="仿宋_GB2312" w:cs="Times New Roman"/>
          <w:sz w:val="32"/>
          <w:szCs w:val="32"/>
          <w:lang w:eastAsia="zh-CN"/>
        </w:rPr>
        <w:t>。</w:t>
      </w:r>
    </w:p>
    <w:p>
      <w:pPr>
        <w:pStyle w:val="2"/>
        <w:spacing w:line="560" w:lineRule="exact"/>
        <w:ind w:firstLine="640"/>
        <w:rPr>
          <w:rFonts w:ascii="Times New Roman" w:hAnsi="Times New Roman" w:eastAsia="黑体" w:cs="Times New Roman"/>
          <w:sz w:val="32"/>
          <w:szCs w:val="32"/>
        </w:rPr>
      </w:pPr>
      <w:r>
        <w:rPr>
          <w:rFonts w:ascii="Times New Roman" w:hAnsi="Times New Roman" w:eastAsia="黑体" w:cs="Times New Roman"/>
          <w:sz w:val="32"/>
          <w:szCs w:val="32"/>
        </w:rPr>
        <w:t>三、实施步骤</w:t>
      </w:r>
    </w:p>
    <w:p>
      <w:pPr>
        <w:spacing w:line="560" w:lineRule="exact"/>
        <w:ind w:firstLine="640" w:firstLineChars="200"/>
        <w:rPr>
          <w:rFonts w:ascii="Times New Roman" w:hAnsi="Times New Roman" w:eastAsia="方正楷体_GB2312" w:cs="Times New Roman"/>
          <w:sz w:val="32"/>
          <w:szCs w:val="32"/>
          <w:lang w:bidi="zh-TW"/>
        </w:rPr>
      </w:pPr>
      <w:r>
        <w:rPr>
          <w:rFonts w:ascii="Times New Roman" w:hAnsi="Times New Roman" w:eastAsia="楷体_GB2312" w:cs="Times New Roman"/>
          <w:sz w:val="32"/>
          <w:szCs w:val="32"/>
          <w:lang w:bidi="zh-TW"/>
        </w:rPr>
        <w:t>（一）</w:t>
      </w:r>
      <w:r>
        <w:rPr>
          <w:rFonts w:ascii="Times New Roman" w:hAnsi="Times New Roman" w:eastAsia="楷体_GB2312" w:cs="Times New Roman"/>
          <w:sz w:val="32"/>
          <w:szCs w:val="32"/>
        </w:rPr>
        <w:t>准备阶段</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成立改厕专班</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全面开展摸底调查</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摸清户外厕所性质</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明确已享受各级财政奖补和未享受各</w:t>
      </w:r>
      <w:r>
        <w:rPr>
          <w:rFonts w:ascii="Times New Roman" w:hAnsi="Times New Roman" w:eastAsia="仿宋_GB2312" w:cs="Times New Roman"/>
          <w:sz w:val="32"/>
          <w:szCs w:val="32"/>
          <w:lang w:eastAsia="zh-CN"/>
        </w:rPr>
        <w:t>级</w:t>
      </w:r>
      <w:r>
        <w:rPr>
          <w:rFonts w:ascii="Times New Roman" w:hAnsi="Times New Roman" w:eastAsia="仿宋_GB2312" w:cs="Times New Roman"/>
          <w:sz w:val="32"/>
          <w:szCs w:val="32"/>
        </w:rPr>
        <w:t>财政奖补户厕数量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建立户外厕所进院入户台账</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制定实施方案</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把任务分解落实到村、组、户</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街村成立改厕小组</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指定专人</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夯实责任</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明确改厕模式和施工方式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落实施工人员和监理人员</w:t>
      </w:r>
      <w:r>
        <w:rPr>
          <w:rFonts w:ascii="Times New Roman" w:hAnsi="Times New Roman" w:eastAsia="仿宋_GB2312" w:cs="Times New Roman"/>
          <w:sz w:val="32"/>
          <w:szCs w:val="32"/>
          <w:lang w:eastAsia="zh-CN"/>
        </w:rPr>
        <w:t>。</w:t>
      </w:r>
    </w:p>
    <w:p>
      <w:pPr>
        <w:spacing w:line="560" w:lineRule="exact"/>
        <w:ind w:left="640"/>
        <w:rPr>
          <w:rFonts w:ascii="Times New Roman" w:hAnsi="Times New Roman" w:eastAsia="方正楷体_GB2312" w:cs="Times New Roman"/>
          <w:sz w:val="32"/>
          <w:szCs w:val="32"/>
          <w:lang w:bidi="zh-TW"/>
        </w:rPr>
      </w:pPr>
      <w:r>
        <w:rPr>
          <w:rFonts w:ascii="Times New Roman" w:hAnsi="Times New Roman" w:eastAsia="楷体_GB2312" w:cs="Times New Roman"/>
          <w:sz w:val="32"/>
          <w:szCs w:val="32"/>
          <w:lang w:bidi="zh-TW"/>
        </w:rPr>
        <w:t>（二）</w:t>
      </w:r>
      <w:r>
        <w:rPr>
          <w:rFonts w:ascii="Times New Roman" w:hAnsi="Times New Roman" w:eastAsia="楷体_GB2312" w:cs="Times New Roman"/>
          <w:sz w:val="32"/>
          <w:szCs w:val="32"/>
        </w:rPr>
        <w:t>建设阶段</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户外厕所进院入户工作分阶段进行</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6月底前完成任务的50%</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9月底前完成80%</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12月底全面完成全区户外厕所进院入户工作</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同时收集改厕户改造前</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施工中</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竣工后的影像资料</w:t>
      </w:r>
      <w:r>
        <w:rPr>
          <w:rFonts w:ascii="Times New Roman" w:hAnsi="Times New Roman" w:eastAsia="仿宋_GB2312" w:cs="Times New Roman"/>
          <w:sz w:val="32"/>
          <w:szCs w:val="32"/>
          <w:lang w:eastAsia="zh-CN"/>
        </w:rPr>
        <w:t>。各</w:t>
      </w:r>
      <w:r>
        <w:rPr>
          <w:rFonts w:ascii="Times New Roman" w:hAnsi="Times New Roman" w:eastAsia="仿宋_GB2312" w:cs="Times New Roman"/>
          <w:sz w:val="32"/>
          <w:szCs w:val="32"/>
        </w:rPr>
        <w:t>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做好指导</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检查和督导工作</w:t>
      </w:r>
      <w:r>
        <w:rPr>
          <w:rFonts w:ascii="Times New Roman" w:hAnsi="Times New Roman" w:eastAsia="仿宋_GB2312" w:cs="Times New Roman"/>
          <w:sz w:val="32"/>
          <w:szCs w:val="32"/>
          <w:lang w:eastAsia="zh-CN"/>
        </w:rPr>
        <w:t>。</w:t>
      </w:r>
    </w:p>
    <w:p>
      <w:pPr>
        <w:pStyle w:val="3"/>
        <w:numPr>
          <w:ilvl w:val="0"/>
          <w:numId w:val="2"/>
        </w:numPr>
        <w:spacing w:line="560" w:lineRule="exact"/>
        <w:ind w:left="0" w:leftChars="0"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验收阶段</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坚持建成一批</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验收一批</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补助一批的原则</w:t>
      </w:r>
      <w:r>
        <w:rPr>
          <w:rFonts w:ascii="Times New Roman" w:hAnsi="Times New Roman" w:eastAsia="仿宋_GB2312" w:cs="Times New Roman"/>
          <w:sz w:val="32"/>
          <w:szCs w:val="32"/>
          <w:lang w:eastAsia="zh-CN"/>
        </w:rPr>
        <w:t>。各</w:t>
      </w:r>
      <w:r>
        <w:rPr>
          <w:rFonts w:ascii="Times New Roman" w:hAnsi="Times New Roman" w:eastAsia="仿宋_GB2312" w:cs="Times New Roman"/>
          <w:sz w:val="32"/>
          <w:szCs w:val="32"/>
        </w:rPr>
        <w:t>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组织相关人员</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改造户</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施工方</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监理方和村义务监督员将建设和验收工作同步进行</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验收工作完成后</w:t>
      </w:r>
      <w:r>
        <w:rPr>
          <w:rFonts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各</w:t>
      </w:r>
      <w:r>
        <w:rPr>
          <w:rFonts w:ascii="Times New Roman" w:hAnsi="Times New Roman" w:eastAsia="仿宋_GB2312" w:cs="Times New Roman"/>
          <w:sz w:val="32"/>
          <w:szCs w:val="32"/>
        </w:rPr>
        <w:t>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将竣工验收表和改厕户信息统计表汇编成册</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妥善保存</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区</w:t>
      </w:r>
      <w:r>
        <w:rPr>
          <w:rFonts w:ascii="Times New Roman" w:hAnsi="Times New Roman" w:eastAsia="仿宋_GB2312" w:cs="Times New Roman"/>
          <w:sz w:val="32"/>
          <w:szCs w:val="32"/>
          <w:lang w:eastAsia="zh-CN"/>
        </w:rPr>
        <w:t>农业农村局</w:t>
      </w:r>
      <w:r>
        <w:rPr>
          <w:rFonts w:ascii="Times New Roman" w:hAnsi="Times New Roman" w:eastAsia="仿宋_GB2312" w:cs="Times New Roman"/>
          <w:sz w:val="32"/>
          <w:szCs w:val="32"/>
        </w:rPr>
        <w:t>每月进行抽查验收</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验收完成后拨付资金</w:t>
      </w:r>
      <w:r>
        <w:rPr>
          <w:rFonts w:ascii="Times New Roman" w:hAnsi="Times New Roman" w:eastAsia="仿宋_GB2312" w:cs="Times New Roman"/>
          <w:sz w:val="32"/>
          <w:szCs w:val="32"/>
          <w:lang w:eastAsia="zh-CN"/>
        </w:rPr>
        <w:t>。</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四、保障措施</w:t>
      </w:r>
    </w:p>
    <w:p>
      <w:pPr>
        <w:widowControl/>
        <w:adjustRightInd w:val="0"/>
        <w:snapToGrid w:val="0"/>
        <w:spacing w:line="560" w:lineRule="exact"/>
        <w:ind w:firstLine="640" w:firstLineChars="200"/>
        <w:rPr>
          <w:rFonts w:ascii="Times New Roman" w:hAnsi="Times New Roman" w:eastAsia="楷体" w:cs="Times New Roman"/>
          <w:sz w:val="32"/>
          <w:szCs w:val="32"/>
          <w:lang w:bidi="zh-TW"/>
        </w:rPr>
      </w:pPr>
      <w:bookmarkStart w:id="3" w:name="bookmark16"/>
      <w:r>
        <w:rPr>
          <w:rFonts w:ascii="Times New Roman" w:hAnsi="Times New Roman" w:eastAsia="楷体_GB2312" w:cs="Times New Roman"/>
          <w:sz w:val="32"/>
          <w:szCs w:val="32"/>
        </w:rPr>
        <w:t>（</w:t>
      </w:r>
      <w:bookmarkEnd w:id="3"/>
      <w:r>
        <w:rPr>
          <w:rFonts w:ascii="Times New Roman" w:hAnsi="Times New Roman" w:eastAsia="楷体_GB2312" w:cs="Times New Roman"/>
          <w:sz w:val="32"/>
          <w:szCs w:val="32"/>
        </w:rPr>
        <w:t>一）强化组织领导</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是户外厕所进院入户工作的责任主体</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街道党工委书记和村支部书记是第一责任人</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要亲自挂帅</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靠前指挥</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成立工作领导小组</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要树立整体思维和系统思维</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将户厕建设与美丽乡村建设统筹考虑</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要及时召开专题会</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研究部署宣传发动</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资金投入</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资源调配等</w:t>
      </w:r>
      <w:r>
        <w:rPr>
          <w:rFonts w:hint="eastAsia" w:ascii="Times New Roman" w:hAnsi="Times New Roman" w:eastAsia="仿宋_GB2312" w:cs="Times New Roman"/>
          <w:sz w:val="32"/>
          <w:szCs w:val="32"/>
          <w:lang w:eastAsia="zh-CN"/>
        </w:rPr>
        <w:t>工作</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建立健全工作推动责任机制</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确保户外厕所进院入户工作顺利进行</w:t>
      </w:r>
      <w:r>
        <w:rPr>
          <w:rFonts w:ascii="Times New Roman" w:hAnsi="Times New Roman" w:eastAsia="仿宋_GB2312" w:cs="Times New Roman"/>
          <w:sz w:val="32"/>
          <w:szCs w:val="32"/>
          <w:lang w:eastAsia="zh-CN"/>
        </w:rPr>
        <w:t>。</w:t>
      </w:r>
    </w:p>
    <w:p>
      <w:pPr>
        <w:spacing w:line="560" w:lineRule="exact"/>
        <w:ind w:firstLine="640" w:firstLineChars="200"/>
        <w:rPr>
          <w:rFonts w:ascii="Times New Roman" w:hAnsi="Times New Roman" w:eastAsia="楷体" w:cs="Times New Roman"/>
          <w:sz w:val="32"/>
          <w:szCs w:val="32"/>
        </w:rPr>
      </w:pPr>
      <w:r>
        <w:rPr>
          <w:rFonts w:ascii="Times New Roman" w:hAnsi="Times New Roman" w:eastAsia="楷体_GB2312" w:cs="Times New Roman"/>
          <w:sz w:val="32"/>
          <w:szCs w:val="32"/>
        </w:rPr>
        <w:t>（二）强化资金保障</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1.资金来源及奖补原则</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户外厕所进院入户补助标准分两类</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一是由区财政列支4000万元</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对已享受各级财政补助的户外厕所48582座</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按照各街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户厕基数（已享受财政补助已改厕所数量）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结合工作完成情况和成效</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予以补助；二是对未享受各级财政补助的户外厕所38106座</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积极争取省市户厕改造项目，按照西安市农村户厕提升改造标准每座2000元标准进行补助</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共计7621.2万元</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市区按7:3的比例分担</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其中：市级补助5334.84万元</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区级补助2286.36万元</w:t>
      </w:r>
      <w:r>
        <w:rPr>
          <w:rFonts w:ascii="Times New Roman" w:hAnsi="Times New Roman" w:eastAsia="仿宋_GB2312" w:cs="Times New Roman"/>
          <w:sz w:val="32"/>
          <w:szCs w:val="32"/>
          <w:lang w:eastAsia="zh-CN"/>
        </w:rPr>
        <w:t>。</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2.资金使用及拨付</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资金实行专项管理</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按照“市区补助、街村分担、群众投资投劳”的办法筹措</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市</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区补助资金用于设备材料</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人工等直接开支</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不足部分由街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村组</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农户自筹解决</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鼓励农户以自备砖</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砂石</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水泥等材料或以工代劳等形式参与户厕建设</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每周统计户厕进院入户工作开展情况</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由督导检查组抽查核验</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对已改户厕进行挂牌区分</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每月以街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为单位</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根据改造进度分期</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分批拨付资金</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区财政局全力保障落实配套资金</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同时配合区农业农村局及各街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积极整合</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争取上级资金支持</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加强资金使用和管理</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资金实行专款专用</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专账核算</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不得截留</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挤占和挪用</w:t>
      </w:r>
      <w:r>
        <w:rPr>
          <w:rFonts w:ascii="Times New Roman" w:hAnsi="Times New Roman" w:eastAsia="仿宋_GB2312" w:cs="Times New Roman"/>
          <w:sz w:val="32"/>
          <w:szCs w:val="32"/>
          <w:lang w:eastAsia="zh-CN"/>
        </w:rPr>
        <w:t>。</w:t>
      </w:r>
    </w:p>
    <w:p>
      <w:pPr>
        <w:spacing w:line="560" w:lineRule="exact"/>
        <w:ind w:firstLine="640" w:firstLineChars="200"/>
        <w:rPr>
          <w:rFonts w:ascii="Times New Roman" w:hAnsi="Times New Roman" w:eastAsia="楷体" w:cs="Times New Roman"/>
          <w:sz w:val="32"/>
          <w:szCs w:val="32"/>
          <w:lang w:val="zh-TW" w:bidi="zh-TW"/>
        </w:rPr>
      </w:pPr>
      <w:r>
        <w:rPr>
          <w:rFonts w:ascii="Times New Roman" w:hAnsi="Times New Roman" w:eastAsia="楷体_GB2312" w:cs="Times New Roman"/>
          <w:sz w:val="32"/>
          <w:szCs w:val="32"/>
          <w:lang w:val="zh-TW"/>
        </w:rPr>
        <w:t>（三）</w:t>
      </w:r>
      <w:r>
        <w:rPr>
          <w:rFonts w:ascii="Times New Roman" w:hAnsi="Times New Roman" w:eastAsia="楷体_GB2312" w:cs="Times New Roman"/>
          <w:sz w:val="32"/>
          <w:szCs w:val="32"/>
        </w:rPr>
        <w:t>强化督导检查</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区农业农村局组织相关部门对全区户外厕所进院入户工作分阶段进行督导检查</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形成督查通报</w:t>
      </w:r>
      <w:r>
        <w:rPr>
          <w:rFonts w:ascii="Times New Roman" w:hAnsi="Times New Roman" w:eastAsia="仿宋_GB2312" w:cs="Times New Roman"/>
          <w:sz w:val="32"/>
          <w:szCs w:val="32"/>
          <w:lang w:eastAsia="zh-CN"/>
        </w:rPr>
        <w:t>，各</w:t>
      </w:r>
      <w:r>
        <w:rPr>
          <w:rFonts w:ascii="Times New Roman" w:hAnsi="Times New Roman" w:eastAsia="仿宋_GB2312" w:cs="Times New Roman"/>
          <w:sz w:val="32"/>
          <w:szCs w:val="32"/>
        </w:rPr>
        <w:t>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要对督查中发现的问题立行立改</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限期完成</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街村也要成立专班</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明确专人对厕所建设全程监督管理和督导检查</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各村组要特别做好厕坑开挖</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化粪池砌筑（安装）</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厕具安装</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化粪池渗漏试验等环节的督查和验收</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确保质量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区级一月督查两次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一周至少督查一次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村组做好日常的巡查和督导工作</w:t>
      </w:r>
      <w:r>
        <w:rPr>
          <w:rFonts w:ascii="Times New Roman" w:hAnsi="Times New Roman" w:eastAsia="仿宋_GB2312" w:cs="Times New Roman"/>
          <w:sz w:val="32"/>
          <w:szCs w:val="32"/>
          <w:lang w:eastAsia="zh-CN"/>
        </w:rPr>
        <w:t>。</w:t>
      </w:r>
    </w:p>
    <w:p>
      <w:pPr>
        <w:pStyle w:val="8"/>
        <w:spacing w:line="560" w:lineRule="exact"/>
        <w:ind w:firstLine="660"/>
        <w:rPr>
          <w:rFonts w:ascii="Times New Roman" w:hAnsi="Times New Roman" w:eastAsia="黑体" w:cs="Times New Roman"/>
          <w:sz w:val="32"/>
          <w:szCs w:val="32"/>
        </w:rPr>
      </w:pPr>
      <w:r>
        <w:rPr>
          <w:rFonts w:ascii="Times New Roman" w:hAnsi="Times New Roman" w:eastAsia="黑体" w:cs="Times New Roman"/>
          <w:sz w:val="32"/>
          <w:szCs w:val="32"/>
          <w:lang w:eastAsia="zh-CN"/>
        </w:rPr>
        <w:t>五</w:t>
      </w:r>
      <w:r>
        <w:rPr>
          <w:rFonts w:ascii="Times New Roman" w:hAnsi="Times New Roman" w:eastAsia="黑体" w:cs="Times New Roman"/>
          <w:sz w:val="32"/>
          <w:szCs w:val="32"/>
        </w:rPr>
        <w:t>、</w:t>
      </w:r>
      <w:r>
        <w:rPr>
          <w:rFonts w:ascii="Times New Roman" w:hAnsi="Times New Roman" w:eastAsia="黑体" w:cs="Times New Roman"/>
          <w:sz w:val="32"/>
          <w:szCs w:val="32"/>
          <w:lang w:eastAsia="zh-CN"/>
        </w:rPr>
        <w:t>几点</w:t>
      </w:r>
      <w:r>
        <w:rPr>
          <w:rFonts w:ascii="Times New Roman" w:hAnsi="Times New Roman" w:eastAsia="黑体" w:cs="Times New Roman"/>
          <w:sz w:val="32"/>
          <w:szCs w:val="32"/>
        </w:rPr>
        <w:t>要求</w:t>
      </w:r>
    </w:p>
    <w:p>
      <w:pPr>
        <w:spacing w:line="560" w:lineRule="exact"/>
        <w:ind w:firstLine="640" w:firstLineChars="200"/>
        <w:rPr>
          <w:rFonts w:ascii="Times New Roman" w:hAnsi="Times New Roman" w:eastAsia="方正楷体_GB2312" w:cs="Times New Roman"/>
          <w:sz w:val="32"/>
          <w:szCs w:val="32"/>
        </w:rPr>
      </w:pPr>
      <w:bookmarkStart w:id="4" w:name="bookmark17"/>
      <w:r>
        <w:rPr>
          <w:rFonts w:ascii="Times New Roman" w:hAnsi="Times New Roman" w:eastAsia="楷体_GB2312" w:cs="Times New Roman"/>
          <w:sz w:val="32"/>
          <w:szCs w:val="32"/>
        </w:rPr>
        <w:t>（</w:t>
      </w:r>
      <w:bookmarkEnd w:id="4"/>
      <w:r>
        <w:rPr>
          <w:rFonts w:ascii="Times New Roman" w:hAnsi="Times New Roman" w:eastAsia="楷体_GB2312" w:cs="Times New Roman"/>
          <w:sz w:val="32"/>
          <w:szCs w:val="32"/>
        </w:rPr>
        <w:t>一）突出工作重点</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要综合考虑辖区实际情况</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按照示范村、街办驻地村、重点村、清洁村的顺序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梯次推进、分清主次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优先完成重点区域</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逐步推进背街小巷</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统筹安排</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实施户厕进院入户工作</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将户厕进院入户作为一项约束性指标</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科学制定本辖区户外厕所进院入户工作方案</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明确下辖村建设任务</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明确资金标准及使用要求</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在充分尊重群众意愿的前提下</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允许并鼓励采取农户自建</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验收</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奖补到户的形式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补贴到户的资金应在本村进行公示</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接受社会和群众监督</w:t>
      </w:r>
      <w:r>
        <w:rPr>
          <w:rFonts w:ascii="Times New Roman" w:hAnsi="Times New Roman" w:eastAsia="仿宋_GB2312" w:cs="Times New Roman"/>
          <w:sz w:val="32"/>
          <w:szCs w:val="32"/>
          <w:lang w:eastAsia="zh-CN"/>
        </w:rPr>
        <w:t>。</w:t>
      </w:r>
    </w:p>
    <w:p>
      <w:pPr>
        <w:numPr>
          <w:ilvl w:val="0"/>
          <w:numId w:val="3"/>
        </w:num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加强质量管控</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val="en-US" w:eastAsia="zh-CN" w:bidi="ar-SA"/>
        </w:rPr>
        <w:t>要严把产品质量关</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确定厕所建设选材质量标准和技术参数</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加大产品质量市场监管力度</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要严把施工质量关</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由培训合格的施工人员严格按标准要求改厕</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每村至少确定1名质量监督员</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加强日常监督和指导</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确保程序规范</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质量过关</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要严把竣工验收关，制定完善验收标准和办法</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采取街、村全面验收</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区级评估抽验的方式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要确保机制健全</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程序规范</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质量合格</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将使用效果和群众满意度等纳入验收指标</w:t>
      </w:r>
      <w:r>
        <w:rPr>
          <w:rFonts w:ascii="Times New Roman" w:hAnsi="Times New Roman" w:eastAsia="仿宋_GB2312" w:cs="Times New Roman"/>
          <w:sz w:val="32"/>
          <w:szCs w:val="32"/>
          <w:lang w:eastAsia="zh-CN"/>
        </w:rPr>
        <w:t>。</w:t>
      </w:r>
    </w:p>
    <w:p>
      <w:pPr>
        <w:pStyle w:val="8"/>
        <w:numPr>
          <w:ilvl w:val="0"/>
          <w:numId w:val="3"/>
        </w:numPr>
        <w:tabs>
          <w:tab w:val="left" w:pos="1566"/>
        </w:tabs>
        <w:spacing w:line="560" w:lineRule="exact"/>
        <w:ind w:firstLine="640" w:firstLineChars="200"/>
        <w:rPr>
          <w:rFonts w:ascii="Times New Roman" w:hAnsi="Times New Roman" w:eastAsia="楷体_GB2312" w:cs="Times New Roman"/>
          <w:sz w:val="32"/>
          <w:szCs w:val="32"/>
          <w:lang w:val="en-US" w:eastAsia="zh-CN" w:bidi="ar-SA"/>
        </w:rPr>
      </w:pPr>
      <w:r>
        <w:rPr>
          <w:rFonts w:ascii="Times New Roman" w:hAnsi="Times New Roman" w:eastAsia="楷体_GB2312" w:cs="Times New Roman"/>
          <w:sz w:val="32"/>
          <w:szCs w:val="32"/>
          <w:lang w:val="en-US" w:eastAsia="zh-CN" w:bidi="ar-SA"/>
        </w:rPr>
        <w:t>健全管护机制</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强化“三分建设</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七分管护”理念</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要突出抓好改厕后长效运行管护</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粪污处理</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因地制宜配备必要管护设备</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鼓励联户</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联村一体管护</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处理</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尽量就地就近消纳</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综合利用</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实现粪污无害化处理和资源化利用</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积极探索市场化运作模式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鼓励企业或村集体经济组织出资进行改厕后检查维修</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定期收运</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粪渣资源利用等后续工作</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形成管收用并重</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责权利一致的长效管理机制</w:t>
      </w:r>
      <w:r>
        <w:rPr>
          <w:rFonts w:ascii="Times New Roman" w:hAnsi="Times New Roman" w:eastAsia="仿宋_GB2312" w:cs="Times New Roman"/>
          <w:sz w:val="32"/>
          <w:szCs w:val="32"/>
          <w:lang w:eastAsia="zh-CN"/>
        </w:rPr>
        <w:t>。</w:t>
      </w:r>
    </w:p>
    <w:p>
      <w:pPr>
        <w:numPr>
          <w:ilvl w:val="0"/>
          <w:numId w:val="3"/>
        </w:num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强化数据调度</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严格执行周报制度</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每周五前上报户厕进院入户开展情况</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区农业农村局按照进展情况进行排名并全区通报</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同时要做到户厕改造及资料档案收集同步进行</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及时收集改厕资料</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做到资料档案专人负责</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专柜存放</w:t>
      </w:r>
      <w:r>
        <w:rPr>
          <w:rFonts w:ascii="Times New Roman" w:hAnsi="Times New Roman" w:eastAsia="仿宋_GB2312" w:cs="Times New Roman"/>
          <w:sz w:val="32"/>
          <w:szCs w:val="32"/>
          <w:lang w:eastAsia="zh-CN"/>
        </w:rPr>
        <w:t>。</w:t>
      </w:r>
    </w:p>
    <w:p>
      <w:pPr>
        <w:pStyle w:val="8"/>
        <w:numPr>
          <w:ilvl w:val="0"/>
          <w:numId w:val="3"/>
        </w:numPr>
        <w:spacing w:line="560" w:lineRule="exact"/>
        <w:ind w:firstLine="640" w:firstLineChars="200"/>
        <w:rPr>
          <w:rFonts w:ascii="Times New Roman" w:hAnsi="Times New Roman" w:eastAsia="楷体_GB2312" w:cs="Times New Roman"/>
          <w:sz w:val="32"/>
          <w:szCs w:val="32"/>
          <w:lang w:val="en-US" w:eastAsia="zh-CN" w:bidi="ar-SA"/>
        </w:rPr>
      </w:pPr>
      <w:r>
        <w:rPr>
          <w:rFonts w:ascii="Times New Roman" w:hAnsi="Times New Roman" w:eastAsia="楷体_GB2312" w:cs="Times New Roman"/>
          <w:sz w:val="32"/>
          <w:szCs w:val="32"/>
          <w:lang w:val="en-US" w:eastAsia="zh-CN" w:bidi="ar-SA"/>
        </w:rPr>
        <w:t>发挥主体作用</w:t>
      </w:r>
    </w:p>
    <w:p>
      <w:pPr>
        <w:pStyle w:val="8"/>
        <w:spacing w:line="560" w:lineRule="exact"/>
        <w:ind w:firstLine="640" w:firstLineChars="200"/>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rPr>
        <w:t>要始终发挥群众作为户厕建设参与者</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建设者和受益者的主体作用</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积极听取村民代表意见建议</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确保实施方案符合村域实际</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群众认可</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要厘清政府和</w:t>
      </w:r>
      <w:r>
        <w:rPr>
          <w:rFonts w:ascii="Times New Roman" w:hAnsi="Times New Roman" w:eastAsia="仿宋_GB2312" w:cs="Times New Roman"/>
          <w:sz w:val="32"/>
          <w:szCs w:val="32"/>
          <w:lang w:eastAsia="zh-CN"/>
        </w:rPr>
        <w:t>群众</w:t>
      </w:r>
      <w:r>
        <w:rPr>
          <w:rFonts w:ascii="Times New Roman" w:hAnsi="Times New Roman" w:eastAsia="仿宋_GB2312" w:cs="Times New Roman"/>
          <w:sz w:val="32"/>
          <w:szCs w:val="32"/>
        </w:rPr>
        <w:t>责任</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切实改变政府大包大揽</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群众参与度不够等情况</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要通过村规民约</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举办讲座</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张贴标语等多种形式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教育引导群众正确使用和管护厕所</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培养健康文明生活方式</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同时</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要充分发动社会资本</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积极联系当地成功人士</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企业家</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致富带头人和热心人士参与家乡建设</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群策群力</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努力营造共商</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共建</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共享</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共管美丽新家园建设的良好氛围</w:t>
      </w:r>
      <w:r>
        <w:rPr>
          <w:rFonts w:ascii="Times New Roman" w:hAnsi="Times New Roman" w:eastAsia="仿宋_GB2312" w:cs="Times New Roman"/>
          <w:sz w:val="32"/>
          <w:szCs w:val="32"/>
          <w:lang w:eastAsia="zh-CN"/>
        </w:rPr>
        <w:t>，</w:t>
      </w:r>
      <w:r>
        <w:rPr>
          <w:rFonts w:ascii="Times New Roman" w:hAnsi="Times New Roman" w:eastAsia="仿宋_GB2312" w:cs="Times New Roman"/>
          <w:sz w:val="32"/>
          <w:szCs w:val="32"/>
        </w:rPr>
        <w:t>促进全区农村改厕工作扎实稳步</w:t>
      </w:r>
      <w:r>
        <w:rPr>
          <w:rFonts w:ascii="Times New Roman" w:hAnsi="Times New Roman" w:eastAsia="仿宋_GB2312" w:cs="Times New Roman"/>
          <w:sz w:val="32"/>
          <w:szCs w:val="32"/>
          <w:lang w:eastAsia="zh-CN"/>
        </w:rPr>
        <w:t>推进。</w:t>
      </w:r>
    </w:p>
    <w:p>
      <w:pPr>
        <w:pStyle w:val="8"/>
        <w:spacing w:line="560" w:lineRule="exact"/>
        <w:ind w:firstLine="640" w:firstLineChars="200"/>
        <w:rPr>
          <w:rFonts w:ascii="Times New Roman" w:hAnsi="Times New Roman" w:eastAsia="方正仿宋_GB2312" w:cs="Times New Roman"/>
          <w:sz w:val="32"/>
          <w:szCs w:val="32"/>
        </w:rPr>
      </w:pPr>
    </w:p>
    <w:p>
      <w:pPr>
        <w:pStyle w:val="8"/>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附件：各街</w:t>
      </w:r>
      <w:r>
        <w:rPr>
          <w:rFonts w:hint="eastAsia" w:ascii="Times New Roman" w:hAnsi="Times New Roman" w:eastAsia="仿宋_GB2312" w:cs="Times New Roman"/>
          <w:sz w:val="32"/>
          <w:szCs w:val="32"/>
          <w:lang w:eastAsia="zh-CN"/>
        </w:rPr>
        <w:t>办</w:t>
      </w:r>
      <w:r>
        <w:rPr>
          <w:rFonts w:ascii="Times New Roman" w:hAnsi="Times New Roman" w:eastAsia="仿宋_GB2312" w:cs="Times New Roman"/>
          <w:sz w:val="32"/>
          <w:szCs w:val="32"/>
        </w:rPr>
        <w:t>户外厕所进院入户工作任务表</w:t>
      </w:r>
    </w:p>
    <w:p>
      <w:pPr>
        <w:pStyle w:val="2"/>
        <w:spacing w:line="560" w:lineRule="exact"/>
        <w:rPr>
          <w:rFonts w:ascii="Times New Roman" w:hAnsi="Times New Roman" w:cs="Times New Roman"/>
        </w:rPr>
      </w:pPr>
    </w:p>
    <w:p>
      <w:pPr>
        <w:pStyle w:val="2"/>
        <w:spacing w:line="560" w:lineRule="exact"/>
        <w:ind w:firstLine="640"/>
        <w:rPr>
          <w:rFonts w:ascii="Times New Roman" w:hAnsi="Times New Roman" w:eastAsia="仿宋" w:cs="Times New Roman"/>
          <w:sz w:val="32"/>
          <w:szCs w:val="32"/>
        </w:rPr>
      </w:pPr>
    </w:p>
    <w:p>
      <w:pPr>
        <w:pStyle w:val="3"/>
        <w:spacing w:line="560" w:lineRule="exact"/>
        <w:ind w:left="2100"/>
        <w:rPr>
          <w:rFonts w:ascii="Times New Roman" w:hAnsi="Times New Roman" w:eastAsia="仿宋" w:cs="Times New Roman"/>
          <w:sz w:val="32"/>
          <w:szCs w:val="32"/>
        </w:rPr>
      </w:pPr>
    </w:p>
    <w:p>
      <w:pPr>
        <w:pStyle w:val="2"/>
        <w:spacing w:line="560" w:lineRule="exact"/>
        <w:rPr>
          <w:rFonts w:ascii="Times New Roman" w:hAnsi="Times New Roman" w:cs="Times New Roman"/>
        </w:rPr>
      </w:pPr>
    </w:p>
    <w:p>
      <w:pPr>
        <w:pStyle w:val="3"/>
        <w:ind w:left="2100"/>
        <w:rPr>
          <w:rFonts w:ascii="Times New Roman" w:hAnsi="Times New Roman" w:cs="Times New Roman"/>
        </w:rPr>
        <w:sectPr>
          <w:footerReference r:id="rId3" w:type="default"/>
          <w:footerReference r:id="rId4" w:type="even"/>
          <w:pgSz w:w="11906" w:h="16838"/>
          <w:pgMar w:top="1701" w:right="1474" w:bottom="1134" w:left="1588" w:header="851" w:footer="1134" w:gutter="0"/>
          <w:pgNumType w:fmt="numberInDash"/>
          <w:cols w:space="425" w:num="1"/>
          <w:docGrid w:type="lines" w:linePitch="312" w:charSpace="0"/>
        </w:sectPr>
      </w:pPr>
    </w:p>
    <w:p>
      <w:pPr>
        <w:widowControl/>
        <w:spacing w:line="560" w:lineRule="exact"/>
        <w:textAlignment w:val="center"/>
        <w:rPr>
          <w:rFonts w:ascii="Times New Roman" w:hAnsi="Times New Roman" w:eastAsia="黑体" w:cs="Times New Roman"/>
          <w:color w:val="000000"/>
          <w:kern w:val="0"/>
          <w:sz w:val="32"/>
          <w:szCs w:val="32"/>
        </w:rPr>
      </w:pPr>
      <w:r>
        <w:rPr>
          <w:rFonts w:ascii="Times New Roman" w:hAnsi="黑体" w:eastAsia="黑体" w:cs="Times New Roman"/>
          <w:color w:val="000000"/>
          <w:kern w:val="0"/>
          <w:sz w:val="32"/>
          <w:szCs w:val="32"/>
        </w:rPr>
        <w:t>附件</w:t>
      </w:r>
    </w:p>
    <w:p>
      <w:pPr>
        <w:widowControl/>
        <w:spacing w:line="560" w:lineRule="exact"/>
        <w:jc w:val="center"/>
        <w:textAlignment w:val="center"/>
        <w:rPr>
          <w:rFonts w:ascii="Times New Roman" w:hAnsi="Times New Roman" w:eastAsia="方正小标宋简体" w:cs="Times New Roman"/>
          <w:color w:val="000000"/>
          <w:kern w:val="0"/>
          <w:sz w:val="44"/>
          <w:szCs w:val="44"/>
        </w:rPr>
      </w:pPr>
      <w:r>
        <w:rPr>
          <w:rFonts w:ascii="Times New Roman" w:hAnsi="Times New Roman" w:eastAsia="方正小标宋简体" w:cs="Times New Roman"/>
          <w:color w:val="000000"/>
          <w:kern w:val="0"/>
          <w:sz w:val="44"/>
          <w:szCs w:val="44"/>
        </w:rPr>
        <w:t>各街</w:t>
      </w:r>
      <w:r>
        <w:rPr>
          <w:rFonts w:hint="eastAsia" w:ascii="Times New Roman" w:hAnsi="Times New Roman" w:eastAsia="方正小标宋简体" w:cs="Times New Roman"/>
          <w:color w:val="000000"/>
          <w:kern w:val="0"/>
          <w:sz w:val="44"/>
          <w:szCs w:val="44"/>
        </w:rPr>
        <w:t>办</w:t>
      </w:r>
      <w:r>
        <w:rPr>
          <w:rFonts w:ascii="Times New Roman" w:hAnsi="Times New Roman" w:eastAsia="方正小标宋简体" w:cs="Times New Roman"/>
          <w:color w:val="000000"/>
          <w:kern w:val="0"/>
          <w:sz w:val="44"/>
          <w:szCs w:val="44"/>
        </w:rPr>
        <w:t>户外厕所进院入户工作任务表</w:t>
      </w:r>
    </w:p>
    <w:tbl>
      <w:tblPr>
        <w:tblStyle w:val="6"/>
        <w:tblpPr w:leftFromText="180" w:rightFromText="180" w:vertAnchor="text" w:horzAnchor="page" w:tblpX="1702" w:tblpY="289"/>
        <w:tblOverlap w:val="never"/>
        <w:tblW w:w="4791" w:type="pct"/>
        <w:tblInd w:w="0" w:type="dxa"/>
        <w:tblLayout w:type="autofit"/>
        <w:tblCellMar>
          <w:top w:w="0" w:type="dxa"/>
          <w:left w:w="108" w:type="dxa"/>
          <w:bottom w:w="0" w:type="dxa"/>
          <w:right w:w="108" w:type="dxa"/>
        </w:tblCellMar>
      </w:tblPr>
      <w:tblGrid>
        <w:gridCol w:w="1854"/>
        <w:gridCol w:w="1860"/>
        <w:gridCol w:w="1858"/>
        <w:gridCol w:w="1860"/>
        <w:gridCol w:w="1466"/>
      </w:tblGrid>
      <w:tr>
        <w:tblPrEx>
          <w:tblCellMar>
            <w:top w:w="0" w:type="dxa"/>
            <w:left w:w="108" w:type="dxa"/>
            <w:bottom w:w="0" w:type="dxa"/>
            <w:right w:w="108" w:type="dxa"/>
          </w:tblCellMar>
        </w:tblPrEx>
        <w:trPr>
          <w:trHeight w:val="366" w:hRule="atLeast"/>
        </w:trPr>
        <w:tc>
          <w:tcPr>
            <w:tcW w:w="1042" w:type="pct"/>
            <w:vMerge w:val="restar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黑体" w:hAnsi="黑体" w:eastAsia="黑体" w:cs="Times New Roman"/>
                <w:color w:val="000000"/>
                <w:sz w:val="24"/>
              </w:rPr>
            </w:pPr>
            <w:r>
              <w:rPr>
                <w:rFonts w:ascii="黑体" w:hAnsi="黑体" w:eastAsia="黑体" w:cs="Times New Roman"/>
                <w:color w:val="000000"/>
                <w:kern w:val="0"/>
                <w:sz w:val="24"/>
              </w:rPr>
              <w:t>街</w:t>
            </w:r>
            <w:r>
              <w:rPr>
                <w:rFonts w:hint="eastAsia" w:ascii="黑体" w:hAnsi="黑体" w:eastAsia="黑体" w:cs="Times New Roman"/>
                <w:color w:val="000000"/>
                <w:kern w:val="0"/>
                <w:sz w:val="24"/>
              </w:rPr>
              <w:t>办</w:t>
            </w:r>
          </w:p>
        </w:tc>
        <w:tc>
          <w:tcPr>
            <w:tcW w:w="1045" w:type="pct"/>
            <w:vMerge w:val="restart"/>
            <w:tcBorders>
              <w:top w:val="single" w:color="535353" w:sz="4" w:space="0"/>
              <w:left w:val="single" w:color="535353" w:sz="4" w:space="0"/>
              <w:bottom w:val="single" w:color="535353" w:sz="4" w:space="0"/>
              <w:right w:val="single" w:color="535353" w:sz="4" w:space="0"/>
            </w:tcBorders>
            <w:shd w:val="clear" w:color="auto" w:fill="auto"/>
            <w:vAlign w:val="center"/>
          </w:tcPr>
          <w:p>
            <w:pPr>
              <w:widowControl/>
              <w:jc w:val="center"/>
              <w:textAlignment w:val="center"/>
              <w:rPr>
                <w:rFonts w:ascii="Times New Roman" w:hAnsi="Times New Roman" w:eastAsia="黑体" w:cs="Times New Roman"/>
                <w:color w:val="000000"/>
                <w:sz w:val="24"/>
              </w:rPr>
            </w:pPr>
            <w:r>
              <w:rPr>
                <w:rFonts w:ascii="Times New Roman" w:hAnsi="黑体" w:eastAsia="黑体" w:cs="Times New Roman"/>
                <w:color w:val="000000"/>
                <w:kern w:val="0"/>
                <w:sz w:val="24"/>
              </w:rPr>
              <w:t>总任务数</w:t>
            </w:r>
            <w:r>
              <w:rPr>
                <w:rFonts w:ascii="Times New Roman" w:hAnsi="Times New Roman" w:eastAsia="黑体" w:cs="Times New Roman"/>
                <w:color w:val="000000"/>
                <w:kern w:val="0"/>
                <w:sz w:val="24"/>
              </w:rPr>
              <w:br w:type="textWrapping"/>
            </w:r>
            <w:r>
              <w:rPr>
                <w:rFonts w:ascii="Times New Roman" w:hAnsi="黑体" w:eastAsia="黑体" w:cs="Times New Roman"/>
                <w:color w:val="000000"/>
                <w:kern w:val="0"/>
                <w:sz w:val="24"/>
              </w:rPr>
              <w:t>（座）</w:t>
            </w:r>
          </w:p>
        </w:tc>
        <w:tc>
          <w:tcPr>
            <w:tcW w:w="2088" w:type="pct"/>
            <w:gridSpan w:val="2"/>
            <w:tcBorders>
              <w:top w:val="single" w:color="535353" w:sz="4" w:space="0"/>
              <w:left w:val="single" w:color="535353" w:sz="4" w:space="0"/>
              <w:bottom w:val="single" w:color="535353" w:sz="4" w:space="0"/>
              <w:right w:val="single" w:color="535353" w:sz="4" w:space="0"/>
            </w:tcBorders>
            <w:shd w:val="clear" w:color="auto" w:fill="auto"/>
            <w:vAlign w:val="center"/>
          </w:tcPr>
          <w:p>
            <w:pPr>
              <w:widowControl/>
              <w:jc w:val="center"/>
              <w:textAlignment w:val="center"/>
              <w:rPr>
                <w:rFonts w:ascii="Times New Roman" w:hAnsi="Times New Roman" w:eastAsia="黑体" w:cs="Times New Roman"/>
                <w:color w:val="000000"/>
                <w:kern w:val="0"/>
                <w:sz w:val="24"/>
              </w:rPr>
            </w:pPr>
            <w:r>
              <w:rPr>
                <w:rFonts w:ascii="Times New Roman" w:hAnsi="黑体" w:eastAsia="黑体" w:cs="Times New Roman"/>
                <w:color w:val="000000"/>
                <w:kern w:val="0"/>
                <w:sz w:val="24"/>
              </w:rPr>
              <w:t>其中：</w:t>
            </w:r>
          </w:p>
        </w:tc>
        <w:tc>
          <w:tcPr>
            <w:tcW w:w="825" w:type="pct"/>
            <w:vMerge w:val="restart"/>
            <w:tcBorders>
              <w:top w:val="single" w:color="535353" w:sz="4" w:space="0"/>
              <w:left w:val="single" w:color="535353" w:sz="4" w:space="0"/>
              <w:right w:val="single" w:color="535353" w:sz="4" w:space="0"/>
            </w:tcBorders>
            <w:shd w:val="clear" w:color="auto" w:fill="auto"/>
            <w:vAlign w:val="center"/>
          </w:tcPr>
          <w:p>
            <w:pPr>
              <w:widowControl/>
              <w:jc w:val="center"/>
              <w:textAlignment w:val="center"/>
              <w:rPr>
                <w:rFonts w:ascii="Times New Roman" w:hAnsi="Times New Roman" w:eastAsia="黑体" w:cs="Times New Roman"/>
                <w:color w:val="000000"/>
                <w:kern w:val="0"/>
                <w:sz w:val="24"/>
              </w:rPr>
            </w:pPr>
            <w:r>
              <w:rPr>
                <w:rFonts w:ascii="Times New Roman" w:hAnsi="黑体" w:eastAsia="黑体" w:cs="Times New Roman"/>
                <w:color w:val="000000"/>
                <w:kern w:val="0"/>
                <w:sz w:val="24"/>
              </w:rPr>
              <w:t>备注</w:t>
            </w:r>
          </w:p>
        </w:tc>
      </w:tr>
      <w:tr>
        <w:tblPrEx>
          <w:tblCellMar>
            <w:top w:w="0" w:type="dxa"/>
            <w:left w:w="108" w:type="dxa"/>
            <w:bottom w:w="0" w:type="dxa"/>
            <w:right w:w="108" w:type="dxa"/>
          </w:tblCellMar>
        </w:tblPrEx>
        <w:trPr>
          <w:trHeight w:val="405" w:hRule="atLeast"/>
        </w:trPr>
        <w:tc>
          <w:tcPr>
            <w:tcW w:w="1042" w:type="pct"/>
            <w:vMerge w:val="continue"/>
            <w:tcBorders>
              <w:top w:val="single" w:color="535353" w:sz="4" w:space="0"/>
              <w:left w:val="single" w:color="535353" w:sz="4" w:space="0"/>
              <w:bottom w:val="single" w:color="535353" w:sz="4" w:space="0"/>
              <w:right w:val="single" w:color="535353" w:sz="4" w:space="0"/>
            </w:tcBorders>
            <w:shd w:val="clear" w:color="auto" w:fill="auto"/>
            <w:noWrap/>
            <w:vAlign w:val="center"/>
          </w:tcPr>
          <w:p>
            <w:pPr>
              <w:jc w:val="center"/>
              <w:rPr>
                <w:rFonts w:ascii="Times New Roman" w:hAnsi="Times New Roman" w:eastAsia="黑体" w:cs="Times New Roman"/>
                <w:color w:val="000000"/>
                <w:sz w:val="24"/>
              </w:rPr>
            </w:pPr>
          </w:p>
        </w:tc>
        <w:tc>
          <w:tcPr>
            <w:tcW w:w="1045" w:type="pct"/>
            <w:vMerge w:val="continue"/>
            <w:tcBorders>
              <w:top w:val="single" w:color="535353" w:sz="4" w:space="0"/>
              <w:left w:val="single" w:color="535353" w:sz="4" w:space="0"/>
              <w:bottom w:val="single" w:color="535353" w:sz="4" w:space="0"/>
              <w:right w:val="single" w:color="535353" w:sz="4" w:space="0"/>
            </w:tcBorders>
            <w:shd w:val="clear" w:color="auto" w:fill="auto"/>
            <w:vAlign w:val="center"/>
          </w:tcPr>
          <w:p>
            <w:pPr>
              <w:jc w:val="center"/>
              <w:rPr>
                <w:rFonts w:ascii="Times New Roman" w:hAnsi="Times New Roman" w:eastAsia="黑体" w:cs="Times New Roman"/>
                <w:color w:val="000000"/>
                <w:sz w:val="24"/>
              </w:rPr>
            </w:pPr>
          </w:p>
        </w:tc>
        <w:tc>
          <w:tcPr>
            <w:tcW w:w="1044" w:type="pct"/>
            <w:tcBorders>
              <w:top w:val="single" w:color="535353" w:sz="4" w:space="0"/>
              <w:left w:val="single" w:color="535353" w:sz="4" w:space="0"/>
              <w:bottom w:val="single" w:color="535353" w:sz="4" w:space="0"/>
              <w:right w:val="single" w:color="535353" w:sz="4" w:space="0"/>
            </w:tcBorders>
            <w:shd w:val="clear" w:color="auto" w:fill="auto"/>
            <w:vAlign w:val="center"/>
          </w:tcPr>
          <w:p>
            <w:pPr>
              <w:jc w:val="center"/>
              <w:rPr>
                <w:rFonts w:ascii="Times New Roman" w:hAnsi="Times New Roman" w:eastAsia="黑体" w:cs="Times New Roman"/>
                <w:color w:val="000000"/>
                <w:sz w:val="24"/>
              </w:rPr>
            </w:pPr>
            <w:r>
              <w:rPr>
                <w:rFonts w:ascii="Times New Roman" w:hAnsi="Times New Roman" w:eastAsia="黑体" w:cs="Times New Roman"/>
                <w:color w:val="000000"/>
                <w:sz w:val="24"/>
              </w:rPr>
              <w:t>已享受政策</w:t>
            </w:r>
          </w:p>
        </w:tc>
        <w:tc>
          <w:tcPr>
            <w:tcW w:w="1045" w:type="pct"/>
            <w:tcBorders>
              <w:top w:val="single" w:color="535353" w:sz="4" w:space="0"/>
              <w:left w:val="single" w:color="535353" w:sz="4" w:space="0"/>
              <w:bottom w:val="single" w:color="535353" w:sz="4" w:space="0"/>
              <w:right w:val="single" w:color="535353" w:sz="4" w:space="0"/>
            </w:tcBorders>
            <w:shd w:val="clear" w:color="auto" w:fill="auto"/>
            <w:vAlign w:val="center"/>
          </w:tcPr>
          <w:p>
            <w:pPr>
              <w:jc w:val="center"/>
              <w:rPr>
                <w:rFonts w:ascii="Times New Roman" w:hAnsi="Times New Roman" w:eastAsia="黑体" w:cs="Times New Roman"/>
                <w:color w:val="000000"/>
                <w:sz w:val="24"/>
              </w:rPr>
            </w:pPr>
            <w:r>
              <w:rPr>
                <w:rFonts w:ascii="Times New Roman" w:hAnsi="Times New Roman" w:eastAsia="黑体" w:cs="Times New Roman"/>
                <w:color w:val="000000"/>
                <w:sz w:val="24"/>
              </w:rPr>
              <w:t>未享受政策</w:t>
            </w:r>
          </w:p>
        </w:tc>
        <w:tc>
          <w:tcPr>
            <w:tcW w:w="825" w:type="pct"/>
            <w:vMerge w:val="continue"/>
            <w:tcBorders>
              <w:left w:val="single" w:color="535353" w:sz="4" w:space="0"/>
              <w:bottom w:val="single" w:color="535353" w:sz="4" w:space="0"/>
              <w:right w:val="single" w:color="535353" w:sz="4" w:space="0"/>
            </w:tcBorders>
            <w:shd w:val="clear" w:color="auto" w:fill="auto"/>
            <w:vAlign w:val="center"/>
          </w:tcPr>
          <w:p>
            <w:pPr>
              <w:jc w:val="center"/>
              <w:rPr>
                <w:rFonts w:ascii="Times New Roman" w:hAnsi="Times New Roman" w:eastAsia="黑体" w:cs="Times New Roman"/>
                <w:color w:val="00000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代王街办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8300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3318</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4982</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交口街办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4400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2666</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1734</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栎阳街办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5028</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4223</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805</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零口街办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5900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3557</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2343</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马额街办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3610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2140</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1470</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穆寨街办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2366</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1575</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791</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秦陵街办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3200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485</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2715</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仁宗街办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1816</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1554</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262</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任留街办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3035</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1440</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1595</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西泉街办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1180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527</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653</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相桥街办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8300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2764</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5536</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小金街办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998</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956</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42</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斜口街办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3448</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2330</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1118</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新丰街办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3510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453</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3057</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新市街办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5110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3202</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1908</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徐杨街办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4600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4343</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257</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油槐街办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4780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3839</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941</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雨金街办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4630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2702</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1928</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何寨街办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6210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3051</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3159</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行者街办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2120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1750</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370</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铁炉街办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3700</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1707</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1993</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骊山街办</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kern w:val="0"/>
                <w:sz w:val="24"/>
              </w:rPr>
              <w:t>447</w:t>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0</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t>447</w:t>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kern w:val="0"/>
                <w:sz w:val="24"/>
              </w:rPr>
            </w:pPr>
          </w:p>
        </w:tc>
      </w:tr>
      <w:tr>
        <w:tblPrEx>
          <w:tblCellMar>
            <w:top w:w="0" w:type="dxa"/>
            <w:left w:w="108" w:type="dxa"/>
            <w:bottom w:w="0" w:type="dxa"/>
            <w:right w:w="108" w:type="dxa"/>
          </w:tblCellMar>
        </w:tblPrEx>
        <w:trPr>
          <w:trHeight w:val="425" w:hRule="exact"/>
        </w:trPr>
        <w:tc>
          <w:tcPr>
            <w:tcW w:w="1042"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仿宋_GB2312" w:hAnsi="Times New Roman" w:eastAsia="仿宋_GB2312" w:cs="Times New Roman"/>
                <w:color w:val="000000"/>
                <w:sz w:val="24"/>
              </w:rPr>
            </w:pPr>
            <w:r>
              <w:rPr>
                <w:rFonts w:hint="eastAsia" w:ascii="仿宋_GB2312" w:hAnsi="Times New Roman" w:eastAsia="仿宋_GB2312" w:cs="Times New Roman"/>
                <w:color w:val="000000"/>
                <w:kern w:val="0"/>
                <w:sz w:val="24"/>
              </w:rPr>
              <w:t>合计</w:t>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fldChar w:fldCharType="begin"/>
            </w:r>
            <w:r>
              <w:rPr>
                <w:rFonts w:ascii="Times New Roman" w:hAnsi="Times New Roman" w:eastAsia="宋体" w:cs="Times New Roman"/>
                <w:color w:val="000000"/>
                <w:sz w:val="24"/>
              </w:rPr>
              <w:instrText xml:space="preserve"> = sum(B3:B24) \* MERGEFORMAT </w:instrText>
            </w:r>
            <w:r>
              <w:rPr>
                <w:rFonts w:ascii="Times New Roman" w:hAnsi="Times New Roman" w:eastAsia="宋体" w:cs="Times New Roman"/>
                <w:color w:val="000000"/>
                <w:sz w:val="24"/>
              </w:rPr>
              <w:fldChar w:fldCharType="separate"/>
            </w:r>
            <w:r>
              <w:rPr>
                <w:rFonts w:ascii="Times New Roman" w:hAnsi="Times New Roman" w:eastAsia="宋体" w:cs="Times New Roman"/>
                <w:color w:val="000000"/>
                <w:sz w:val="24"/>
              </w:rPr>
              <w:t>86688</w:t>
            </w:r>
            <w:r>
              <w:rPr>
                <w:rFonts w:ascii="Times New Roman" w:hAnsi="Times New Roman" w:eastAsia="宋体" w:cs="Times New Roman"/>
                <w:color w:val="000000"/>
                <w:sz w:val="24"/>
              </w:rPr>
              <w:fldChar w:fldCharType="end"/>
            </w:r>
          </w:p>
        </w:tc>
        <w:tc>
          <w:tcPr>
            <w:tcW w:w="1044"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fldChar w:fldCharType="begin"/>
            </w:r>
            <w:r>
              <w:rPr>
                <w:rFonts w:ascii="Times New Roman" w:hAnsi="Times New Roman" w:eastAsia="宋体" w:cs="Times New Roman"/>
                <w:color w:val="000000"/>
                <w:sz w:val="24"/>
              </w:rPr>
              <w:instrText xml:space="preserve"> = sum(C3:C24) \* MERGEFORMAT </w:instrText>
            </w:r>
            <w:r>
              <w:rPr>
                <w:rFonts w:ascii="Times New Roman" w:hAnsi="Times New Roman" w:eastAsia="宋体" w:cs="Times New Roman"/>
                <w:color w:val="000000"/>
                <w:sz w:val="24"/>
              </w:rPr>
              <w:fldChar w:fldCharType="separate"/>
            </w:r>
            <w:r>
              <w:rPr>
                <w:rFonts w:ascii="Times New Roman" w:hAnsi="Times New Roman" w:eastAsia="宋体" w:cs="Times New Roman"/>
                <w:color w:val="000000"/>
                <w:sz w:val="24"/>
              </w:rPr>
              <w:t>48582</w:t>
            </w:r>
            <w:r>
              <w:rPr>
                <w:rFonts w:ascii="Times New Roman" w:hAnsi="Times New Roman" w:eastAsia="宋体" w:cs="Times New Roman"/>
                <w:color w:val="000000"/>
                <w:sz w:val="24"/>
              </w:rPr>
              <w:fldChar w:fldCharType="end"/>
            </w:r>
          </w:p>
        </w:tc>
        <w:tc>
          <w:tcPr>
            <w:tcW w:w="104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r>
              <w:rPr>
                <w:rFonts w:ascii="Times New Roman" w:hAnsi="Times New Roman" w:eastAsia="宋体" w:cs="Times New Roman"/>
                <w:color w:val="000000"/>
                <w:sz w:val="24"/>
              </w:rPr>
              <w:fldChar w:fldCharType="begin"/>
            </w:r>
            <w:r>
              <w:rPr>
                <w:rFonts w:ascii="Times New Roman" w:hAnsi="Times New Roman" w:eastAsia="宋体" w:cs="Times New Roman"/>
                <w:color w:val="000000"/>
                <w:sz w:val="24"/>
              </w:rPr>
              <w:instrText xml:space="preserve"> = sum(D3:D24) \* MERGEFORMAT </w:instrText>
            </w:r>
            <w:r>
              <w:rPr>
                <w:rFonts w:ascii="Times New Roman" w:hAnsi="Times New Roman" w:eastAsia="宋体" w:cs="Times New Roman"/>
                <w:color w:val="000000"/>
                <w:sz w:val="24"/>
              </w:rPr>
              <w:fldChar w:fldCharType="separate"/>
            </w:r>
            <w:r>
              <w:rPr>
                <w:rFonts w:ascii="Times New Roman" w:hAnsi="Times New Roman" w:eastAsia="宋体" w:cs="Times New Roman"/>
                <w:color w:val="000000"/>
                <w:sz w:val="24"/>
              </w:rPr>
              <w:t>38106</w:t>
            </w:r>
            <w:r>
              <w:rPr>
                <w:rFonts w:ascii="Times New Roman" w:hAnsi="Times New Roman" w:eastAsia="宋体" w:cs="Times New Roman"/>
                <w:color w:val="000000"/>
                <w:sz w:val="24"/>
              </w:rPr>
              <w:fldChar w:fldCharType="end"/>
            </w:r>
          </w:p>
        </w:tc>
        <w:tc>
          <w:tcPr>
            <w:tcW w:w="825" w:type="pct"/>
            <w:tcBorders>
              <w:top w:val="single" w:color="535353" w:sz="4" w:space="0"/>
              <w:left w:val="single" w:color="535353" w:sz="4" w:space="0"/>
              <w:bottom w:val="single" w:color="535353" w:sz="4" w:space="0"/>
              <w:right w:val="single" w:color="535353" w:sz="4" w:space="0"/>
            </w:tcBorders>
            <w:shd w:val="clear" w:color="auto" w:fill="auto"/>
            <w:noWrap/>
            <w:vAlign w:val="center"/>
          </w:tcPr>
          <w:p>
            <w:pPr>
              <w:widowControl/>
              <w:jc w:val="center"/>
              <w:textAlignment w:val="center"/>
              <w:rPr>
                <w:rFonts w:ascii="Times New Roman" w:hAnsi="Times New Roman" w:eastAsia="宋体" w:cs="Times New Roman"/>
                <w:color w:val="000000"/>
                <w:sz w:val="24"/>
              </w:rPr>
            </w:pPr>
          </w:p>
        </w:tc>
      </w:tr>
    </w:tbl>
    <w:p>
      <w:bookmarkStart w:id="5" w:name="_GoBack"/>
      <w:bookmarkEnd w:id="5"/>
    </w:p>
    <w:sectPr>
      <w:pgSz w:w="11906" w:h="16838"/>
      <w:pgMar w:top="1701" w:right="1418" w:bottom="1134" w:left="1418"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64C10E7-6C8E-419C-84B0-C31018A6A7B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CA2B7C01-E57A-4253-A1B7-CA45E5C3DAC2}"/>
  </w:font>
  <w:font w:name="方正小标宋简体">
    <w:panose1 w:val="03000509000000000000"/>
    <w:charset w:val="86"/>
    <w:family w:val="auto"/>
    <w:pitch w:val="default"/>
    <w:sig w:usb0="00000001" w:usb1="080E0000" w:usb2="00000000" w:usb3="00000000" w:csb0="00040000" w:csb1="00000000"/>
    <w:embedRegular r:id="rId3" w:fontKey="{112DDF95-4A02-4E14-AA90-C4BE8DE1DB13}"/>
  </w:font>
  <w:font w:name="方正仿宋简体">
    <w:panose1 w:val="02010601030101010101"/>
    <w:charset w:val="86"/>
    <w:family w:val="auto"/>
    <w:pitch w:val="default"/>
    <w:sig w:usb0="00000001" w:usb1="080E0000" w:usb2="00000000" w:usb3="00000000" w:csb0="00040000" w:csb1="00000000"/>
  </w:font>
  <w:font w:name="方正仿宋_GB2312">
    <w:altName w:val="微软雅黑"/>
    <w:panose1 w:val="00000000000000000000"/>
    <w:charset w:val="86"/>
    <w:family w:val="auto"/>
    <w:pitch w:val="default"/>
    <w:sig w:usb0="00000000" w:usb1="00000000" w:usb2="00000012" w:usb3="00000000" w:csb0="00040001" w:csb1="00000000"/>
    <w:embedRegular r:id="rId4" w:fontKey="{65A6B1D1-6EB3-405F-95D4-4CBDB191A532}"/>
  </w:font>
  <w:font w:name="仿宋_GB2312">
    <w:panose1 w:val="02010609030101010101"/>
    <w:charset w:val="86"/>
    <w:family w:val="modern"/>
    <w:pitch w:val="default"/>
    <w:sig w:usb0="00000001" w:usb1="080E0000" w:usb2="00000000" w:usb3="00000000" w:csb0="00040000" w:csb1="00000000"/>
    <w:embedRegular r:id="rId5" w:fontKey="{E3699F6B-821A-4719-B168-36E40CD30051}"/>
  </w:font>
  <w:font w:name="楷体_GB2312">
    <w:panose1 w:val="02010609030101010101"/>
    <w:charset w:val="86"/>
    <w:family w:val="modern"/>
    <w:pitch w:val="default"/>
    <w:sig w:usb0="00000001" w:usb1="080E0000" w:usb2="00000000" w:usb3="00000000" w:csb0="00040000" w:csb1="00000000"/>
    <w:embedRegular r:id="rId6" w:fontKey="{E0D1D883-CC8B-4DD1-A63C-615E5F3CC437}"/>
  </w:font>
  <w:font w:name="方正楷体_GB2312">
    <w:panose1 w:val="02000000000000000000"/>
    <w:charset w:val="86"/>
    <w:family w:val="auto"/>
    <w:pitch w:val="default"/>
    <w:sig w:usb0="A00002BF" w:usb1="184F6CFA" w:usb2="00000012" w:usb3="00000000" w:csb0="00040001" w:csb1="00000000"/>
    <w:embedRegular r:id="rId7" w:fontKey="{CF3217F9-D409-4221-A08A-9B5A1A42B1B3}"/>
  </w:font>
  <w:font w:name="楷体">
    <w:panose1 w:val="02010609060101010101"/>
    <w:charset w:val="86"/>
    <w:family w:val="modern"/>
    <w:pitch w:val="default"/>
    <w:sig w:usb0="800002BF" w:usb1="38CF7CFA" w:usb2="00000016" w:usb3="00000000" w:csb0="00040001" w:csb1="00000000"/>
    <w:embedRegular r:id="rId8" w:fontKey="{F69961EC-8731-46D5-9FFF-C83732E3EB8B}"/>
  </w:font>
  <w:font w:name="仿宋">
    <w:panose1 w:val="02010609060101010101"/>
    <w:charset w:val="86"/>
    <w:family w:val="modern"/>
    <w:pitch w:val="default"/>
    <w:sig w:usb0="800002BF" w:usb1="38CF7CFA" w:usb2="00000016" w:usb3="00000000" w:csb0="00040001" w:csb1="00000000"/>
    <w:embedRegular r:id="rId9" w:fontKey="{B6A8630A-011D-42BA-B70A-04BF7AA63FBD}"/>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6pebnPAAAA&#10;BQEAAA8AAAAAAAAAAQAgAAAAIgAAAGRycy9kb3ducmV2LnhtbFBLAQIUABQAAAAIAIdO4kCvRbY0&#10;7QEAANUDAAAOAAAAAAAAAAEAIAAAAB4BAABkcnMvZTJvRG9jLnhtbFBLBQYAAAAABgAGAFkBAAB9&#10;BQAAAAA=&#10;">
              <v:fill on="f" focussize="0,0"/>
              <v:stroke on="f"/>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140" w:firstLineChars="5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5FE995"/>
    <w:multiLevelType w:val="singleLevel"/>
    <w:tmpl w:val="AD5FE995"/>
    <w:lvl w:ilvl="0" w:tentative="0">
      <w:start w:val="2"/>
      <w:numFmt w:val="chineseCounting"/>
      <w:suff w:val="nothing"/>
      <w:lvlText w:val="（%1）"/>
      <w:lvlJc w:val="left"/>
      <w:rPr>
        <w:rFonts w:hint="eastAsia" w:ascii="楷体_GB2312" w:eastAsia="楷体_GB2312"/>
      </w:rPr>
    </w:lvl>
  </w:abstractNum>
  <w:abstractNum w:abstractNumId="1">
    <w:nsid w:val="BD6C0D93"/>
    <w:multiLevelType w:val="singleLevel"/>
    <w:tmpl w:val="BD6C0D93"/>
    <w:lvl w:ilvl="0" w:tentative="0">
      <w:start w:val="3"/>
      <w:numFmt w:val="chineseCounting"/>
      <w:suff w:val="nothing"/>
      <w:lvlText w:val="（%1）"/>
      <w:lvlJc w:val="left"/>
      <w:rPr>
        <w:rFonts w:hint="eastAsia" w:ascii="楷体_GB2312" w:eastAsia="楷体_GB2312"/>
      </w:rPr>
    </w:lvl>
  </w:abstractNum>
  <w:abstractNum w:abstractNumId="2">
    <w:nsid w:val="7074BE92"/>
    <w:multiLevelType w:val="singleLevel"/>
    <w:tmpl w:val="7074BE92"/>
    <w:lvl w:ilvl="0" w:tentative="0">
      <w:start w:val="2"/>
      <w:numFmt w:val="chineseCounting"/>
      <w:suff w:val="nothing"/>
      <w:lvlText w:val="（%1）"/>
      <w:lvlJc w:val="left"/>
      <w:rPr>
        <w:rFonts w:hint="eastAsia" w:ascii="楷体_GB2312" w:eastAsia="楷体_GB2312"/>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xMzIxZjg2MWQyZjdlMjM5OWUzODRhYzA0MDVjYWYifQ=="/>
  </w:docVars>
  <w:rsids>
    <w:rsidRoot w:val="00B06785"/>
    <w:rsid w:val="000125B9"/>
    <w:rsid w:val="00030377"/>
    <w:rsid w:val="00042451"/>
    <w:rsid w:val="002D7856"/>
    <w:rsid w:val="00335CA6"/>
    <w:rsid w:val="00375FDD"/>
    <w:rsid w:val="003B5C6D"/>
    <w:rsid w:val="003F3578"/>
    <w:rsid w:val="00630D84"/>
    <w:rsid w:val="00790E82"/>
    <w:rsid w:val="00937207"/>
    <w:rsid w:val="009C759D"/>
    <w:rsid w:val="00B06785"/>
    <w:rsid w:val="00B23939"/>
    <w:rsid w:val="00BC5A7C"/>
    <w:rsid w:val="00D22F80"/>
    <w:rsid w:val="00D36E3F"/>
    <w:rsid w:val="00DA61AC"/>
    <w:rsid w:val="00E2293F"/>
    <w:rsid w:val="00EC65CA"/>
    <w:rsid w:val="00EE6D31"/>
    <w:rsid w:val="00F27BCA"/>
    <w:rsid w:val="00FF5FE6"/>
    <w:rsid w:val="020B7751"/>
    <w:rsid w:val="0BD0037E"/>
    <w:rsid w:val="0CC2416B"/>
    <w:rsid w:val="311D511A"/>
    <w:rsid w:val="42BC06A6"/>
    <w:rsid w:val="4360512E"/>
    <w:rsid w:val="76B879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unhideWhenUsed/>
    <w:qFormat/>
    <w:uiPriority w:val="99"/>
    <w:pPr>
      <w:ind w:firstLine="420" w:firstLineChars="200"/>
    </w:pPr>
  </w:style>
  <w:style w:type="paragraph" w:styleId="3">
    <w:name w:val="index 6"/>
    <w:basedOn w:val="1"/>
    <w:next w:val="1"/>
    <w:semiHidden/>
    <w:qFormat/>
    <w:uiPriority w:val="99"/>
    <w:pPr>
      <w:ind w:left="1000" w:leftChars="100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
    <w:name w:val="Body text|1"/>
    <w:basedOn w:val="1"/>
    <w:qFormat/>
    <w:uiPriority w:val="0"/>
    <w:pPr>
      <w:spacing w:line="394" w:lineRule="auto"/>
      <w:ind w:firstLine="400"/>
    </w:pPr>
    <w:rPr>
      <w:rFonts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3067</Words>
  <Characters>3330</Characters>
  <Lines>26</Lines>
  <Paragraphs>7</Paragraphs>
  <TotalTime>13</TotalTime>
  <ScaleCrop>false</ScaleCrop>
  <LinksUpToDate>false</LinksUpToDate>
  <CharactersWithSpaces>3395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2023-04-14T11:41:00Z</dcterms:created>
  <dc:creator>Administrator</dc:creator>
  <cp:lastModifiedBy>Administrator</cp:lastModifiedBy>
  <cp:lastPrinted>2023-05-04T04:04:00Z</cp:lastPrinted>
  <dcterms:modified xsi:type="dcterms:W3CDTF">2023-05-26T02:03:32Z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BE9B953B44E74239AFC83B0C3596FC7A_13</vt:lpwstr>
  </property>
</Properties>
</file>