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F2D37" w:rsidRDefault="00FF2D37" w:rsidP="00FF2D37">
      <w:pPr>
        <w:spacing w:line="600" w:lineRule="exac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t>附件</w:t>
      </w:r>
      <w:r>
        <w:rPr>
          <w:rFonts w:ascii="Times New Roman" w:eastAsia="仿宋_GB2312" w:hAnsi="Times New Roman" w:cs="Times New Roman"/>
          <w:color w:val="000000"/>
          <w:sz w:val="32"/>
          <w:szCs w:val="32"/>
        </w:rPr>
        <w:t>5</w:t>
      </w:r>
      <w:r>
        <w:rPr>
          <w:rFonts w:ascii="Times New Roman" w:eastAsia="仿宋_GB2312" w:hAnsi="Times New Roman" w:cs="Times New Roman"/>
          <w:color w:val="000000"/>
          <w:sz w:val="32"/>
          <w:szCs w:val="32"/>
        </w:rPr>
        <w:t>：</w:t>
      </w:r>
    </w:p>
    <w:p w:rsidR="00FF2D37" w:rsidRDefault="00FF2D37" w:rsidP="00FF2D37">
      <w:pPr>
        <w:spacing w:line="600" w:lineRule="exact"/>
        <w:jc w:val="center"/>
        <w:rPr>
          <w:rFonts w:ascii="Times New Roman" w:eastAsia="方正小标宋简体" w:hAnsi="Times New Roman" w:cs="Times New Roman"/>
          <w:color w:val="000000"/>
          <w:sz w:val="36"/>
          <w:szCs w:val="36"/>
        </w:rPr>
      </w:pPr>
      <w:r>
        <w:rPr>
          <w:rFonts w:ascii="Times New Roman" w:eastAsia="方正小标宋简体" w:hAnsi="Times New Roman" w:cs="Times New Roman"/>
          <w:color w:val="000000"/>
          <w:sz w:val="36"/>
          <w:szCs w:val="36"/>
        </w:rPr>
        <w:t>农业灾害防控救助项目实施方案</w:t>
      </w:r>
    </w:p>
    <w:p w:rsidR="00FF2D37" w:rsidRDefault="00FF2D37" w:rsidP="00FF2D37"/>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本批次农业灾害防控救助项目重点支持农作物病虫害防治有关内容。</w:t>
      </w:r>
    </w:p>
    <w:p w:rsidR="00FF2D37" w:rsidRDefault="00FF2D37" w:rsidP="00FF2D37">
      <w:pPr>
        <w:spacing w:line="560" w:lineRule="exact"/>
        <w:ind w:firstLineChars="200" w:firstLine="640"/>
        <w:rPr>
          <w:rFonts w:ascii="黑体" w:eastAsia="黑体" w:hAnsi="黑体" w:cs="黑体"/>
          <w:sz w:val="32"/>
          <w:szCs w:val="32"/>
        </w:rPr>
      </w:pPr>
      <w:r>
        <w:rPr>
          <w:rFonts w:ascii="黑体" w:eastAsia="黑体" w:hAnsi="黑体" w:cs="黑体"/>
          <w:sz w:val="32"/>
          <w:szCs w:val="32"/>
        </w:rPr>
        <w:t>一、建设内容</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为有效控制农作物重大病虫草鼠疫情、苹果蠹蛾等重大植物疫情，保障我区农业生产安全，农作物病虫害防治项目重点在粮食主产区及苹果蠹蛾风险区组织实施以下内容。</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（一）农作物重大病虫害及疫情监测预警。支持建设农作物病虫草鼠害及疫情监测区域站（点）</w:t>
      </w:r>
      <w:r>
        <w:rPr>
          <w:rFonts w:ascii="Times New Roman" w:eastAsia="仿宋_GB2312" w:hAnsi="Times New Roman" w:cs="Times New Roman"/>
          <w:sz w:val="32"/>
          <w:szCs w:val="32"/>
        </w:rPr>
        <w:t>,</w:t>
      </w:r>
      <w:r>
        <w:rPr>
          <w:rFonts w:ascii="Times New Roman" w:eastAsia="仿宋_GB2312" w:hAnsi="Times New Roman" w:cs="Times New Roman"/>
          <w:sz w:val="32"/>
          <w:szCs w:val="32"/>
        </w:rPr>
        <w:t>开展农作物病虫草鼠害及植物疫情系统监测、大田普查、信息报送、趋势研判、农药使用调查、植保器械及绿色防控覆盖率调查等工作。</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粮食作物重大病虫防控示范。在粮食主产区，以小麦、玉米等粮食作物为主，突出小麦条锈病、赤霉病，玉米黏虫、草地贪夜蛾、玉米大斑病等流行性、迁飞性、暴发性病虫害，支持因地制宜，建立万亩粮食作物重大病虫草鼠害防控示范区。</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（三）农药减量控害与绿色防控融合示范。围绕粮食、果菜等农作物，建设农药减量控害和绿色防控示范区，示范推广健康栽培、免疫诱抗、理化诱控、生物防治和科学使用化学农药等</w:t>
      </w:r>
      <w:r>
        <w:rPr>
          <w:rFonts w:ascii="Times New Roman" w:eastAsia="仿宋_GB2312" w:hAnsi="Times New Roman" w:cs="Times New Roman"/>
          <w:sz w:val="32"/>
          <w:szCs w:val="32"/>
        </w:rPr>
        <w:t>“</w:t>
      </w:r>
      <w:r>
        <w:rPr>
          <w:rFonts w:ascii="Times New Roman" w:eastAsia="仿宋_GB2312" w:hAnsi="Times New Roman" w:cs="Times New Roman"/>
          <w:sz w:val="32"/>
          <w:szCs w:val="32"/>
        </w:rPr>
        <w:t>五大</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绿色防控技术。</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（四）苹果蠹蛾为主的植物疫情阻截、防控、消杀。坚持</w:t>
      </w:r>
      <w:r>
        <w:rPr>
          <w:rFonts w:ascii="Times New Roman" w:eastAsia="仿宋_GB2312" w:hAnsi="Times New Roman" w:cs="Times New Roman"/>
          <w:sz w:val="32"/>
          <w:szCs w:val="32"/>
        </w:rPr>
        <w:t>“</w:t>
      </w:r>
      <w:r>
        <w:rPr>
          <w:rFonts w:ascii="Times New Roman" w:eastAsia="仿宋_GB2312" w:hAnsi="Times New Roman" w:cs="Times New Roman"/>
          <w:sz w:val="32"/>
          <w:szCs w:val="32"/>
        </w:rPr>
        <w:t>外防输入、内防扩散、严密监测</w:t>
      </w:r>
      <w:r>
        <w:rPr>
          <w:rFonts w:ascii="Times New Roman" w:eastAsia="仿宋_GB2312" w:hAnsi="Times New Roman" w:cs="Times New Roman"/>
          <w:sz w:val="32"/>
          <w:szCs w:val="32"/>
        </w:rPr>
        <w:t>”</w:t>
      </w:r>
      <w:r>
        <w:rPr>
          <w:rFonts w:ascii="Times New Roman" w:eastAsia="仿宋_GB2312" w:hAnsi="Times New Roman" w:cs="Times New Roman"/>
          <w:sz w:val="32"/>
          <w:szCs w:val="32"/>
        </w:rPr>
        <w:t>的防控策略，强化原料果源头治理，严防苹果蠹蛾疫情传入。支持建立苹果蠹蛾区</w:t>
      </w:r>
      <w:r>
        <w:rPr>
          <w:rFonts w:ascii="Times New Roman" w:eastAsia="仿宋_GB2312" w:hAnsi="Times New Roman" w:cs="Times New Roman"/>
          <w:sz w:val="32"/>
          <w:szCs w:val="32"/>
        </w:rPr>
        <w:lastRenderedPageBreak/>
        <w:t>级监测点，对高速服务站等高风险区，进行苹果蠹蛾的阻截、消杀、防控。兼顾柑橘小实蝇、葡萄花翅小卷蛾、马铃薯腐烂茎线虫等疫情开展定点监测。</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植保新技术引进试验。以小麦条锈病、赤霉病和茎基腐病、麦田恶性杂草、草地贪夜蛾、猕猴桃溃疡病、小麦孢囊线虫等重发新发病虫害为主，建立植保新技术、新设备、新药剂引进及抗性监测试验点，熟化、优化、集成和储备实用新技术、新药剂和新设备。以农作物外来入侵病虫害为重点，开展普查、技术指导及种类鉴定，建立外来入侵病虫害种类鉴定、质量控制试验点。</w:t>
      </w:r>
    </w:p>
    <w:p w:rsidR="00FF2D37" w:rsidRDefault="00FF2D37" w:rsidP="00FF2D37">
      <w:pPr>
        <w:spacing w:line="560" w:lineRule="exact"/>
        <w:ind w:firstLineChars="200" w:firstLine="640"/>
        <w:rPr>
          <w:rFonts w:ascii="黑体" w:eastAsia="黑体" w:hAnsi="黑体" w:cs="黑体"/>
          <w:sz w:val="32"/>
          <w:szCs w:val="32"/>
        </w:rPr>
      </w:pPr>
      <w:r>
        <w:rPr>
          <w:rFonts w:ascii="黑体" w:eastAsia="黑体" w:hAnsi="黑体" w:cs="黑体"/>
          <w:sz w:val="32"/>
          <w:szCs w:val="32"/>
        </w:rPr>
        <w:t>二、补助对象及标准</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农作物病虫害防治项目由区农技中心植保站组织实施。</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（一）农作物重大病虫草鼠害监测预警。每个农作物病虫草鼠害及疫情监测点补助</w:t>
      </w:r>
      <w:r>
        <w:rPr>
          <w:rFonts w:ascii="Times New Roman" w:eastAsia="仿宋_GB2312" w:hAnsi="Times New Roman" w:cs="Times New Roman"/>
          <w:sz w:val="32"/>
          <w:szCs w:val="32"/>
        </w:rPr>
        <w:t xml:space="preserve"> 5 </w:t>
      </w:r>
      <w:r>
        <w:rPr>
          <w:rFonts w:ascii="Times New Roman" w:eastAsia="仿宋_GB2312" w:hAnsi="Times New Roman" w:cs="Times New Roman"/>
          <w:sz w:val="32"/>
          <w:szCs w:val="32"/>
        </w:rPr>
        <w:t>万元，主要用于农作物病虫害物联网监测设备运行维护和更新、监测材料购置、病虫信息采集与报送等。</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（二）粮食作物重大病虫草鼠害防控示范。每个粮食作物重大病虫草鼠害防控示范区补助</w:t>
      </w:r>
      <w:r>
        <w:rPr>
          <w:rFonts w:ascii="Times New Roman" w:eastAsia="仿宋_GB2312" w:hAnsi="Times New Roman" w:cs="Times New Roman"/>
          <w:sz w:val="32"/>
          <w:szCs w:val="32"/>
        </w:rPr>
        <w:t xml:space="preserve"> 10 </w:t>
      </w:r>
      <w:r>
        <w:rPr>
          <w:rFonts w:ascii="Times New Roman" w:eastAsia="仿宋_GB2312" w:hAnsi="Times New Roman" w:cs="Times New Roman"/>
          <w:sz w:val="32"/>
          <w:szCs w:val="32"/>
        </w:rPr>
        <w:t>万元，主要用于政府购买服务，</w:t>
      </w:r>
      <w:r>
        <w:rPr>
          <w:rFonts w:ascii="Times New Roman" w:eastAsia="仿宋_GB2312" w:hAnsi="Times New Roman" w:cs="Times New Roman"/>
          <w:sz w:val="32"/>
          <w:szCs w:val="32"/>
        </w:rPr>
        <w:br/>
      </w:r>
      <w:r>
        <w:rPr>
          <w:rFonts w:ascii="Times New Roman" w:eastAsia="仿宋_GB2312" w:hAnsi="Times New Roman" w:cs="Times New Roman"/>
          <w:sz w:val="32"/>
          <w:szCs w:val="32"/>
        </w:rPr>
        <w:t>开展专业化统防统治等。</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（三）农药减量控害与绿色防控融合示范。每个农药减量控害与绿色防控融合示范区补助</w:t>
      </w:r>
      <w:r>
        <w:rPr>
          <w:rFonts w:ascii="Times New Roman" w:eastAsia="仿宋_GB2312" w:hAnsi="Times New Roman" w:cs="Times New Roman"/>
          <w:sz w:val="32"/>
          <w:szCs w:val="32"/>
        </w:rPr>
        <w:t xml:space="preserve"> 5-10 </w:t>
      </w:r>
      <w:r>
        <w:rPr>
          <w:rFonts w:ascii="Times New Roman" w:eastAsia="仿宋_GB2312" w:hAnsi="Times New Roman" w:cs="Times New Roman"/>
          <w:sz w:val="32"/>
          <w:szCs w:val="32"/>
        </w:rPr>
        <w:t>万元，主要用于病虫害诱杀材料、生物药剂、新型化学药剂及免疫诱抗剂等物资购置，防控作业费补助等。</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（四）苹果蠹蛾为主的植物疫情阻截防控、扑灭。每个苹果蠹蛾区级监测点补助</w:t>
      </w:r>
      <w:r>
        <w:rPr>
          <w:rFonts w:ascii="Times New Roman" w:eastAsia="仿宋_GB2312" w:hAnsi="Times New Roman" w:cs="Times New Roman"/>
          <w:sz w:val="32"/>
          <w:szCs w:val="32"/>
        </w:rPr>
        <w:t xml:space="preserve"> 5 </w:t>
      </w:r>
      <w:r>
        <w:rPr>
          <w:rFonts w:ascii="Times New Roman" w:eastAsia="仿宋_GB2312" w:hAnsi="Times New Roman" w:cs="Times New Roman"/>
          <w:sz w:val="32"/>
          <w:szCs w:val="32"/>
        </w:rPr>
        <w:t>万元，主要用于苹果蠹蛾疫情监测材料、检验检查材料、消杀药剂购置及作业费补助等。</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（五）植保新技术引进试验。每个新技术试验补助</w:t>
      </w:r>
      <w:r>
        <w:rPr>
          <w:rFonts w:ascii="Times New Roman" w:eastAsia="仿宋_GB2312" w:hAnsi="Times New Roman" w:cs="Times New Roman"/>
          <w:sz w:val="32"/>
          <w:szCs w:val="32"/>
        </w:rPr>
        <w:t xml:space="preserve"> 5 </w:t>
      </w:r>
      <w:r>
        <w:rPr>
          <w:rFonts w:ascii="Times New Roman" w:eastAsia="仿宋_GB2312" w:hAnsi="Times New Roman" w:cs="Times New Roman"/>
          <w:sz w:val="32"/>
          <w:szCs w:val="32"/>
        </w:rPr>
        <w:t>万元，主要用于试验材料（监测设备、药剂、防控器械）购置及作业费</w:t>
      </w:r>
      <w:r>
        <w:rPr>
          <w:rFonts w:ascii="Times New Roman" w:eastAsia="仿宋_GB2312" w:hAnsi="Times New Roman" w:cs="Times New Roman"/>
          <w:sz w:val="32"/>
          <w:szCs w:val="32"/>
        </w:rPr>
        <w:br/>
      </w:r>
      <w:r>
        <w:rPr>
          <w:rFonts w:ascii="Times New Roman" w:eastAsia="仿宋_GB2312" w:hAnsi="Times New Roman" w:cs="Times New Roman"/>
          <w:sz w:val="32"/>
          <w:szCs w:val="32"/>
        </w:rPr>
        <w:t>补助等。</w:t>
      </w:r>
    </w:p>
    <w:p w:rsidR="00FF2D37" w:rsidRDefault="00FF2D37" w:rsidP="00FF2D37">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三、资金支持环节</w:t>
      </w: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按照建设内容支持病虫害防治各项任务所需，支持其中集中</w:t>
      </w:r>
      <w:r>
        <w:rPr>
          <w:rFonts w:ascii="Times New Roman" w:eastAsia="仿宋_GB2312" w:hAnsi="Times New Roman" w:cs="Times New Roman"/>
          <w:sz w:val="32"/>
          <w:szCs w:val="32"/>
        </w:rPr>
        <w:br/>
      </w:r>
      <w:r>
        <w:rPr>
          <w:rFonts w:ascii="Times New Roman" w:eastAsia="仿宋_GB2312" w:hAnsi="Times New Roman" w:cs="Times New Roman"/>
          <w:sz w:val="32"/>
          <w:szCs w:val="32"/>
        </w:rPr>
        <w:t>采购、政府购买服务、相关作业等环节。</w:t>
      </w:r>
    </w:p>
    <w:p w:rsidR="00FF2D37" w:rsidRDefault="00FF2D37" w:rsidP="00FF2D37">
      <w:pPr>
        <w:spacing w:line="560" w:lineRule="exact"/>
        <w:ind w:firstLineChars="200" w:firstLine="640"/>
        <w:rPr>
          <w:rFonts w:ascii="Times New Roman" w:eastAsia="仿宋_GB2312" w:hAnsi="Times New Roman" w:cs="Times New Roman"/>
          <w:sz w:val="32"/>
          <w:szCs w:val="32"/>
        </w:rPr>
      </w:pPr>
    </w:p>
    <w:p w:rsidR="00FF2D37" w:rsidRDefault="00FF2D37" w:rsidP="00FF2D37">
      <w:pPr>
        <w:spacing w:line="560" w:lineRule="exact"/>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附</w:t>
      </w:r>
      <w:r>
        <w:rPr>
          <w:rFonts w:ascii="Times New Roman" w:eastAsia="仿宋_GB2312" w:hAnsi="Times New Roman" w:cs="Times New Roman"/>
          <w:sz w:val="32"/>
          <w:szCs w:val="32"/>
        </w:rPr>
        <w:t>5-1</w:t>
      </w:r>
      <w:r>
        <w:rPr>
          <w:rFonts w:ascii="Times New Roman" w:eastAsia="仿宋_GB2312" w:hAnsi="Times New Roman" w:cs="Times New Roman"/>
          <w:sz w:val="32"/>
          <w:szCs w:val="32"/>
        </w:rPr>
        <w:t>：临潼区</w:t>
      </w:r>
      <w:r>
        <w:rPr>
          <w:rFonts w:ascii="Times New Roman" w:eastAsia="仿宋_GB2312" w:hAnsi="Times New Roman" w:cs="Times New Roman"/>
          <w:sz w:val="32"/>
          <w:szCs w:val="32"/>
        </w:rPr>
        <w:t xml:space="preserve"> 2023 </w:t>
      </w:r>
      <w:r>
        <w:rPr>
          <w:rFonts w:ascii="Times New Roman" w:eastAsia="仿宋_GB2312" w:hAnsi="Times New Roman" w:cs="Times New Roman"/>
          <w:sz w:val="32"/>
          <w:szCs w:val="32"/>
        </w:rPr>
        <w:t>年农作物病虫害防治资金计划</w:t>
      </w:r>
    </w:p>
    <w:p w:rsidR="00FF2D37" w:rsidRDefault="00FF2D37" w:rsidP="00FF2D37">
      <w:pPr>
        <w:spacing w:line="600" w:lineRule="exact"/>
        <w:ind w:firstLineChars="200" w:firstLine="640"/>
        <w:rPr>
          <w:rFonts w:ascii="Times New Roman" w:eastAsia="仿宋_GB2312" w:hAnsi="Times New Roman" w:cs="Times New Roman"/>
          <w:color w:val="000000"/>
          <w:sz w:val="32"/>
          <w:szCs w:val="32"/>
        </w:rPr>
      </w:pPr>
    </w:p>
    <w:p w:rsidR="00FF2D37" w:rsidRDefault="00FF2D37" w:rsidP="00FF2D37">
      <w:pPr>
        <w:widowControl/>
        <w:jc w:val="left"/>
        <w:rPr>
          <w:rFonts w:ascii="Times New Roman" w:eastAsia="仿宋_GB2312" w:hAnsi="Times New Roman" w:cs="Times New Roman"/>
          <w:color w:val="000000"/>
          <w:sz w:val="32"/>
          <w:szCs w:val="32"/>
        </w:rPr>
      </w:pPr>
      <w:r>
        <w:rPr>
          <w:rFonts w:ascii="Times New Roman" w:eastAsia="仿宋_GB2312" w:hAnsi="Times New Roman" w:cs="Times New Roman"/>
          <w:color w:val="000000"/>
          <w:sz w:val="32"/>
          <w:szCs w:val="32"/>
        </w:rPr>
        <w:br w:type="page"/>
      </w:r>
      <w:r>
        <w:rPr>
          <w:rFonts w:ascii="Times New Roman" w:eastAsia="仿宋_GB2312" w:hAnsi="Times New Roman" w:cs="Times New Roman"/>
          <w:color w:val="000000"/>
          <w:sz w:val="32"/>
          <w:szCs w:val="32"/>
        </w:rPr>
        <w:lastRenderedPageBreak/>
        <w:t>附</w:t>
      </w:r>
      <w:r>
        <w:rPr>
          <w:rFonts w:ascii="Times New Roman" w:eastAsia="仿宋_GB2312" w:hAnsi="Times New Roman" w:cs="Times New Roman" w:hint="eastAsia"/>
          <w:color w:val="000000"/>
          <w:sz w:val="32"/>
          <w:szCs w:val="32"/>
        </w:rPr>
        <w:t>5-1</w:t>
      </w:r>
      <w:r>
        <w:rPr>
          <w:rFonts w:ascii="Times New Roman" w:eastAsia="仿宋_GB2312" w:hAnsi="Times New Roman" w:cs="Times New Roman"/>
          <w:color w:val="000000"/>
          <w:sz w:val="32"/>
          <w:szCs w:val="32"/>
        </w:rPr>
        <w:t>：</w:t>
      </w:r>
    </w:p>
    <w:p w:rsidR="00FF2D37" w:rsidRDefault="00FF2D37" w:rsidP="00FF2D37">
      <w:pPr>
        <w:widowControl/>
        <w:jc w:val="center"/>
        <w:rPr>
          <w:rFonts w:ascii="Times New Roman" w:eastAsia="方正小标宋简体" w:hAnsi="Times New Roman" w:cs="Times New Roman"/>
          <w:color w:val="000000"/>
          <w:sz w:val="36"/>
          <w:szCs w:val="36"/>
        </w:rPr>
      </w:pPr>
      <w:r>
        <w:rPr>
          <w:rFonts w:ascii="Times New Roman" w:eastAsia="方正小标宋简体" w:hAnsi="Times New Roman" w:cs="Times New Roman"/>
          <w:color w:val="000000"/>
          <w:sz w:val="36"/>
          <w:szCs w:val="36"/>
        </w:rPr>
        <w:t>临潼区</w:t>
      </w:r>
      <w:r>
        <w:rPr>
          <w:rFonts w:ascii="Times New Roman" w:eastAsia="方正小标宋简体" w:hAnsi="Times New Roman" w:cs="Times New Roman"/>
          <w:color w:val="000000"/>
          <w:sz w:val="36"/>
          <w:szCs w:val="36"/>
        </w:rPr>
        <w:t xml:space="preserve"> 2023 </w:t>
      </w:r>
      <w:r>
        <w:rPr>
          <w:rFonts w:ascii="Times New Roman" w:eastAsia="方正小标宋简体" w:hAnsi="Times New Roman" w:cs="Times New Roman"/>
          <w:color w:val="000000"/>
          <w:sz w:val="36"/>
          <w:szCs w:val="36"/>
        </w:rPr>
        <w:t>年农作物病虫害防治资金计划</w:t>
      </w:r>
    </w:p>
    <w:tbl>
      <w:tblPr>
        <w:tblStyle w:val="a5"/>
        <w:tblW w:w="9045" w:type="dxa"/>
        <w:tblInd w:w="101" w:type="dxa"/>
        <w:tblLook w:val="04A0" w:firstRow="1" w:lastRow="0" w:firstColumn="1" w:lastColumn="0" w:noHBand="0" w:noVBand="1"/>
      </w:tblPr>
      <w:tblGrid>
        <w:gridCol w:w="2162"/>
        <w:gridCol w:w="5233"/>
        <w:gridCol w:w="1650"/>
      </w:tblGrid>
      <w:tr w:rsidR="00FF2D37" w:rsidTr="00D73C28">
        <w:trPr>
          <w:trHeight w:val="810"/>
        </w:trPr>
        <w:tc>
          <w:tcPr>
            <w:tcW w:w="2162" w:type="dxa"/>
            <w:vAlign w:val="center"/>
          </w:tcPr>
          <w:p w:rsidR="00FF2D37" w:rsidRDefault="00FF2D37" w:rsidP="00D73C28">
            <w:pPr>
              <w:spacing w:line="6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项目实施单位</w:t>
            </w:r>
          </w:p>
        </w:tc>
        <w:tc>
          <w:tcPr>
            <w:tcW w:w="5233" w:type="dxa"/>
            <w:vAlign w:val="center"/>
          </w:tcPr>
          <w:p w:rsidR="00FF2D37" w:rsidRDefault="00FF2D37" w:rsidP="00D73C28">
            <w:pPr>
              <w:spacing w:line="6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资金用途</w:t>
            </w:r>
          </w:p>
        </w:tc>
        <w:tc>
          <w:tcPr>
            <w:tcW w:w="1650" w:type="dxa"/>
            <w:vAlign w:val="center"/>
          </w:tcPr>
          <w:p w:rsidR="00FF2D37" w:rsidRDefault="00FF2D37" w:rsidP="00D73C28">
            <w:pPr>
              <w:spacing w:line="6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金额</w:t>
            </w:r>
            <w:r>
              <w:rPr>
                <w:rFonts w:ascii="Times New Roman" w:eastAsia="仿宋_GB2312" w:hAnsi="Times New Roman" w:cs="Times New Roman"/>
                <w:color w:val="000000"/>
                <w:sz w:val="28"/>
                <w:szCs w:val="28"/>
              </w:rPr>
              <w:t xml:space="preserve">    </w:t>
            </w:r>
            <w:r>
              <w:rPr>
                <w:rFonts w:ascii="Times New Roman" w:eastAsia="仿宋_GB2312" w:hAnsi="Times New Roman" w:cs="Times New Roman"/>
                <w:color w:val="000000"/>
                <w:sz w:val="28"/>
                <w:szCs w:val="28"/>
              </w:rPr>
              <w:t>（万元）</w:t>
            </w:r>
          </w:p>
        </w:tc>
      </w:tr>
      <w:tr w:rsidR="00FF2D37" w:rsidTr="00D73C28">
        <w:trPr>
          <w:trHeight w:val="5263"/>
        </w:trPr>
        <w:tc>
          <w:tcPr>
            <w:tcW w:w="2162" w:type="dxa"/>
            <w:vAlign w:val="center"/>
          </w:tcPr>
          <w:p w:rsidR="00FF2D37" w:rsidRDefault="00FF2D37" w:rsidP="00D73C28">
            <w:pPr>
              <w:spacing w:line="6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区农技服务推广中心</w:t>
            </w:r>
          </w:p>
        </w:tc>
        <w:tc>
          <w:tcPr>
            <w:tcW w:w="5233" w:type="dxa"/>
            <w:vAlign w:val="center"/>
          </w:tcPr>
          <w:p w:rsidR="00FF2D37" w:rsidRDefault="00FF2D37" w:rsidP="00D73C28">
            <w:pPr>
              <w:spacing w:line="600" w:lineRule="exac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重大病虫草鼠及疫情监测点</w:t>
            </w:r>
            <w:r>
              <w:rPr>
                <w:rFonts w:ascii="Times New Roman" w:eastAsia="仿宋_GB2312" w:hAnsi="Times New Roman" w:cs="Times New Roman"/>
                <w:color w:val="000000"/>
                <w:sz w:val="28"/>
                <w:szCs w:val="28"/>
              </w:rPr>
              <w:t xml:space="preserve"> 1 </w:t>
            </w:r>
            <w:r>
              <w:rPr>
                <w:rFonts w:ascii="Times New Roman" w:eastAsia="仿宋_GB2312" w:hAnsi="Times New Roman" w:cs="Times New Roman"/>
                <w:color w:val="000000"/>
                <w:sz w:val="28"/>
                <w:szCs w:val="28"/>
              </w:rPr>
              <w:t>个；</w:t>
            </w:r>
          </w:p>
          <w:p w:rsidR="00FF2D37" w:rsidRDefault="00FF2D37" w:rsidP="00D73C28">
            <w:pPr>
              <w:spacing w:line="600" w:lineRule="exac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苹果蠹蛾监测点</w:t>
            </w:r>
            <w:r>
              <w:rPr>
                <w:rFonts w:ascii="Times New Roman" w:eastAsia="仿宋_GB2312" w:hAnsi="Times New Roman" w:cs="Times New Roman"/>
                <w:color w:val="000000"/>
                <w:sz w:val="28"/>
                <w:szCs w:val="28"/>
              </w:rPr>
              <w:t xml:space="preserve"> 1 </w:t>
            </w:r>
            <w:r>
              <w:rPr>
                <w:rFonts w:ascii="Times New Roman" w:eastAsia="仿宋_GB2312" w:hAnsi="Times New Roman" w:cs="Times New Roman"/>
                <w:color w:val="000000"/>
                <w:sz w:val="28"/>
                <w:szCs w:val="28"/>
              </w:rPr>
              <w:t>个；</w:t>
            </w:r>
          </w:p>
          <w:p w:rsidR="00FF2D37" w:rsidRDefault="00FF2D37" w:rsidP="00D73C28">
            <w:pPr>
              <w:spacing w:line="600" w:lineRule="exac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粮食作物病虫草鼠害统防统治示范区</w:t>
            </w:r>
            <w:r>
              <w:rPr>
                <w:rFonts w:ascii="Times New Roman" w:eastAsia="仿宋_GB2312" w:hAnsi="Times New Roman" w:cs="Times New Roman"/>
                <w:color w:val="000000"/>
                <w:sz w:val="28"/>
                <w:szCs w:val="28"/>
              </w:rPr>
              <w:t xml:space="preserve"> 1 </w:t>
            </w:r>
            <w:r>
              <w:rPr>
                <w:rFonts w:ascii="Times New Roman" w:eastAsia="仿宋_GB2312" w:hAnsi="Times New Roman" w:cs="Times New Roman"/>
                <w:color w:val="000000"/>
                <w:sz w:val="28"/>
                <w:szCs w:val="28"/>
              </w:rPr>
              <w:t>个；</w:t>
            </w:r>
            <w:r>
              <w:rPr>
                <w:rFonts w:ascii="Times New Roman" w:eastAsia="仿宋_GB2312" w:hAnsi="Times New Roman" w:cs="Times New Roman"/>
                <w:color w:val="000000"/>
                <w:sz w:val="28"/>
                <w:szCs w:val="28"/>
              </w:rPr>
              <w:br/>
            </w:r>
            <w:r>
              <w:rPr>
                <w:rFonts w:ascii="Times New Roman" w:eastAsia="仿宋_GB2312" w:hAnsi="Times New Roman" w:cs="Times New Roman"/>
                <w:color w:val="000000"/>
                <w:sz w:val="28"/>
                <w:szCs w:val="28"/>
              </w:rPr>
              <w:t>农药减量控害及绿色防控示范区</w:t>
            </w:r>
            <w:r>
              <w:rPr>
                <w:rFonts w:ascii="Times New Roman" w:eastAsia="仿宋_GB2312" w:hAnsi="Times New Roman" w:cs="Times New Roman"/>
                <w:color w:val="000000"/>
                <w:sz w:val="28"/>
                <w:szCs w:val="28"/>
              </w:rPr>
              <w:t xml:space="preserve"> 1 </w:t>
            </w:r>
            <w:r>
              <w:rPr>
                <w:rFonts w:ascii="Times New Roman" w:eastAsia="仿宋_GB2312" w:hAnsi="Times New Roman" w:cs="Times New Roman"/>
                <w:color w:val="000000"/>
                <w:sz w:val="28"/>
                <w:szCs w:val="28"/>
              </w:rPr>
              <w:t>个；</w:t>
            </w:r>
          </w:p>
          <w:p w:rsidR="00FF2D37" w:rsidRDefault="00FF2D37" w:rsidP="00D73C28">
            <w:pPr>
              <w:spacing w:line="600" w:lineRule="exact"/>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技术试验研究试验点</w:t>
            </w:r>
            <w:r>
              <w:rPr>
                <w:rFonts w:ascii="Times New Roman" w:eastAsia="仿宋_GB2312" w:hAnsi="Times New Roman" w:cs="Times New Roman"/>
                <w:color w:val="000000"/>
                <w:sz w:val="28"/>
                <w:szCs w:val="28"/>
              </w:rPr>
              <w:t xml:space="preserve"> 1 </w:t>
            </w:r>
            <w:r>
              <w:rPr>
                <w:rFonts w:ascii="Times New Roman" w:eastAsia="仿宋_GB2312" w:hAnsi="Times New Roman" w:cs="Times New Roman"/>
                <w:color w:val="000000"/>
                <w:sz w:val="28"/>
                <w:szCs w:val="28"/>
              </w:rPr>
              <w:t>个。</w:t>
            </w:r>
          </w:p>
        </w:tc>
        <w:tc>
          <w:tcPr>
            <w:tcW w:w="1650" w:type="dxa"/>
            <w:vAlign w:val="center"/>
          </w:tcPr>
          <w:p w:rsidR="00FF2D37" w:rsidRDefault="00FF2D37" w:rsidP="00D73C28">
            <w:pPr>
              <w:spacing w:line="600" w:lineRule="exact"/>
              <w:jc w:val="center"/>
              <w:rPr>
                <w:rFonts w:ascii="Times New Roman" w:eastAsia="仿宋_GB2312" w:hAnsi="Times New Roman" w:cs="Times New Roman"/>
                <w:color w:val="000000"/>
                <w:sz w:val="28"/>
                <w:szCs w:val="28"/>
              </w:rPr>
            </w:pPr>
            <w:r>
              <w:rPr>
                <w:rFonts w:ascii="Times New Roman" w:eastAsia="仿宋_GB2312" w:hAnsi="Times New Roman" w:cs="Times New Roman"/>
                <w:color w:val="000000"/>
                <w:sz w:val="28"/>
                <w:szCs w:val="28"/>
              </w:rPr>
              <w:t>30</w:t>
            </w:r>
          </w:p>
        </w:tc>
      </w:tr>
    </w:tbl>
    <w:p w:rsidR="00FF2D37" w:rsidRDefault="00FF2D37" w:rsidP="00FF2D37">
      <w:pPr>
        <w:spacing w:line="600" w:lineRule="exact"/>
        <w:jc w:val="center"/>
        <w:rPr>
          <w:rFonts w:ascii="Times New Roman" w:eastAsia="仿宋_GB2312" w:hAnsi="Times New Roman" w:cs="Times New Roman"/>
          <w:color w:val="000000"/>
          <w:sz w:val="32"/>
          <w:szCs w:val="32"/>
        </w:rPr>
      </w:pPr>
    </w:p>
    <w:p w:rsidR="00FF2D37" w:rsidRDefault="00FF2D37" w:rsidP="00FF2D37">
      <w:pPr>
        <w:spacing w:line="600" w:lineRule="exact"/>
        <w:jc w:val="center"/>
        <w:rPr>
          <w:rFonts w:ascii="Times New Roman" w:eastAsia="仿宋_GB2312" w:hAnsi="Times New Roman" w:cs="Times New Roman"/>
          <w:color w:val="000000"/>
          <w:sz w:val="32"/>
          <w:szCs w:val="32"/>
        </w:rPr>
      </w:pPr>
    </w:p>
    <w:p w:rsidR="00C41FD9" w:rsidRDefault="00C41FD9">
      <w:bookmarkStart w:id="0" w:name="_GoBack"/>
      <w:bookmarkEnd w:id="0"/>
    </w:p>
    <w:sectPr w:rsidR="00C41F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E59B5" w:rsidRDefault="002E59B5" w:rsidP="00FF2D37">
      <w:r>
        <w:separator/>
      </w:r>
    </w:p>
  </w:endnote>
  <w:endnote w:type="continuationSeparator" w:id="0">
    <w:p w:rsidR="002E59B5" w:rsidRDefault="002E59B5" w:rsidP="00FF2D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E59B5" w:rsidRDefault="002E59B5" w:rsidP="00FF2D37">
      <w:r>
        <w:separator/>
      </w:r>
    </w:p>
  </w:footnote>
  <w:footnote w:type="continuationSeparator" w:id="0">
    <w:p w:rsidR="002E59B5" w:rsidRDefault="002E59B5" w:rsidP="00FF2D3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AE6"/>
    <w:rsid w:val="002A2AE6"/>
    <w:rsid w:val="002E59B5"/>
    <w:rsid w:val="00C41FD9"/>
    <w:rsid w:val="00FF2D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1D0268C8-D05D-4AAC-887B-7703FC28CC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2D3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F2D3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F2D37"/>
    <w:rPr>
      <w:sz w:val="18"/>
      <w:szCs w:val="18"/>
    </w:rPr>
  </w:style>
  <w:style w:type="paragraph" w:styleId="a4">
    <w:name w:val="footer"/>
    <w:basedOn w:val="a"/>
    <w:link w:val="Char0"/>
    <w:uiPriority w:val="99"/>
    <w:unhideWhenUsed/>
    <w:rsid w:val="00FF2D37"/>
    <w:pPr>
      <w:tabs>
        <w:tab w:val="center" w:pos="4153"/>
        <w:tab w:val="right" w:pos="8306"/>
      </w:tabs>
      <w:snapToGrid w:val="0"/>
      <w:jc w:val="left"/>
    </w:pPr>
    <w:rPr>
      <w:sz w:val="18"/>
      <w:szCs w:val="18"/>
    </w:rPr>
  </w:style>
  <w:style w:type="character" w:customStyle="1" w:styleId="Char0">
    <w:name w:val="页脚 Char"/>
    <w:basedOn w:val="a0"/>
    <w:link w:val="a4"/>
    <w:uiPriority w:val="99"/>
    <w:rsid w:val="00FF2D37"/>
    <w:rPr>
      <w:sz w:val="18"/>
      <w:szCs w:val="18"/>
    </w:rPr>
  </w:style>
  <w:style w:type="table" w:styleId="a5">
    <w:name w:val="Table Grid"/>
    <w:basedOn w:val="a1"/>
    <w:uiPriority w:val="39"/>
    <w:rsid w:val="00FF2D3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212</Words>
  <Characters>1213</Characters>
  <Application>Microsoft Office Word</Application>
  <DocSecurity>0</DocSecurity>
  <Lines>10</Lines>
  <Paragraphs>2</Paragraphs>
  <ScaleCrop>false</ScaleCrop>
  <Company/>
  <LinksUpToDate>false</LinksUpToDate>
  <CharactersWithSpaces>1423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2</cp:revision>
  <dcterms:created xsi:type="dcterms:W3CDTF">2023-06-08T06:48:00Z</dcterms:created>
  <dcterms:modified xsi:type="dcterms:W3CDTF">2023-06-08T06:48:00Z</dcterms:modified>
</cp:coreProperties>
</file>