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0B5" w:rsidRDefault="009E30B5" w:rsidP="009E30B5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</w:p>
    <w:p w:rsidR="009E30B5" w:rsidRDefault="009E30B5" w:rsidP="009E30B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2023年第三批省级农业生产发展项目</w:t>
      </w:r>
    </w:p>
    <w:p w:rsidR="009E30B5" w:rsidRDefault="009E30B5" w:rsidP="009E30B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申报指南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E30B5" w:rsidRDefault="009E30B5" w:rsidP="009E30B5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一、千亿级畜牧业</w:t>
      </w:r>
    </w:p>
    <w:p w:rsidR="009E30B5" w:rsidRDefault="009E30B5" w:rsidP="009E30B5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（一）建设内容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生猪全产业链建设。支持生猪实施生猪全产业链建设项目，建立完善良种繁育体系，新建、改扩建一批标准化规模养殖场，支持生猪龙头企业延长产业链条，壮大产业规模。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>肉羊全产业链建设。发展一批标准化规模场，开展肉羊产业高质量发展关键技术研发推广。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sz w:val="32"/>
          <w:szCs w:val="32"/>
        </w:rPr>
        <w:t>家禽全产业链建设。支持家禽实施全产业链建设项目，依托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链主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企业、龙头企业带动肉禽、蛋鸡全产业链发展。加快家禽良种繁育体系建设，新建、改扩建一批规模养殖场，支持家禽品牌打造。</w:t>
      </w:r>
    </w:p>
    <w:p w:rsidR="009E30B5" w:rsidRDefault="009E30B5" w:rsidP="009E30B5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/>
          <w:sz w:val="32"/>
          <w:szCs w:val="32"/>
        </w:rPr>
        <w:t>（二）补助对象、标准与环节</w:t>
      </w:r>
    </w:p>
    <w:p w:rsidR="009E30B5" w:rsidRDefault="009E30B5" w:rsidP="009E30B5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/>
          <w:sz w:val="32"/>
          <w:szCs w:val="32"/>
        </w:rPr>
        <w:t>1.生猪全产业链建设。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补助对象</w:t>
      </w:r>
      <w:r>
        <w:rPr>
          <w:rFonts w:ascii="Times New Roman" w:eastAsia="仿宋_GB2312" w:hAnsi="Times New Roman" w:cs="Times New Roman"/>
          <w:sz w:val="32"/>
          <w:szCs w:val="32"/>
        </w:rPr>
        <w:t>:</w:t>
      </w:r>
      <w:r>
        <w:rPr>
          <w:rFonts w:ascii="Times New Roman" w:eastAsia="仿宋_GB2312" w:hAnsi="Times New Roman" w:cs="Times New Roman"/>
          <w:sz w:val="32"/>
          <w:szCs w:val="32"/>
        </w:rPr>
        <w:t>优先支持国家生猪核心育种场、部级生猪养殖标准化示范场、国家级无非洲猪瘟小区、国家级动物疫病净化示范场、国家级或省级生猪产能调控基地、生猪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链主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企业、大型种猪场等，且在农业农村部直联直报系统进行备案。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补助标准</w:t>
      </w:r>
      <w:r>
        <w:rPr>
          <w:rFonts w:ascii="Times New Roman" w:eastAsia="仿宋_GB2312" w:hAnsi="Times New Roman" w:cs="Times New Roman"/>
          <w:sz w:val="32"/>
          <w:szCs w:val="32"/>
        </w:rPr>
        <w:t>:</w:t>
      </w:r>
      <w:r>
        <w:rPr>
          <w:rFonts w:ascii="Times New Roman" w:eastAsia="仿宋_GB2312" w:hAnsi="Times New Roman" w:cs="Times New Roman"/>
          <w:sz w:val="32"/>
          <w:szCs w:val="32"/>
        </w:rPr>
        <w:t>国家生猪核心育种场、生猪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链主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企业补助</w:t>
      </w:r>
      <w:r>
        <w:rPr>
          <w:rFonts w:ascii="Times New Roman" w:eastAsia="仿宋_GB2312" w:hAnsi="Times New Roman" w:cs="Times New Roman"/>
          <w:sz w:val="32"/>
          <w:szCs w:val="32"/>
        </w:rPr>
        <w:t>100-200</w:t>
      </w:r>
      <w:r>
        <w:rPr>
          <w:rFonts w:ascii="Times New Roman" w:eastAsia="仿宋_GB2312" w:hAnsi="Times New Roman" w:cs="Times New Roman"/>
          <w:sz w:val="32"/>
          <w:szCs w:val="32"/>
        </w:rPr>
        <w:t>万元，部级生猪养殖标准化示范场、国家级无非洲猪瘟小区、国家级动物疫病净化示范场补助</w:t>
      </w:r>
      <w:r>
        <w:rPr>
          <w:rFonts w:ascii="Times New Roman" w:eastAsia="仿宋_GB2312" w:hAnsi="Times New Roman" w:cs="Times New Roman"/>
          <w:sz w:val="32"/>
          <w:szCs w:val="32"/>
        </w:rPr>
        <w:t>50</w:t>
      </w:r>
      <w:r>
        <w:rPr>
          <w:rFonts w:ascii="Times New Roman" w:eastAsia="仿宋_GB2312" w:hAnsi="Times New Roman" w:cs="Times New Roman"/>
          <w:sz w:val="32"/>
          <w:szCs w:val="32"/>
        </w:rPr>
        <w:t>万元，其他生猪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企业补助</w:t>
      </w:r>
      <w:r>
        <w:rPr>
          <w:rFonts w:ascii="Times New Roman" w:eastAsia="仿宋_GB2312" w:hAnsi="Times New Roman" w:cs="Times New Roman"/>
          <w:sz w:val="32"/>
          <w:szCs w:val="32"/>
        </w:rPr>
        <w:t>10-50</w:t>
      </w:r>
      <w:r>
        <w:rPr>
          <w:rFonts w:ascii="Times New Roman" w:eastAsia="仿宋_GB2312" w:hAnsi="Times New Roman" w:cs="Times New Roman"/>
          <w:sz w:val="32"/>
          <w:szCs w:val="32"/>
        </w:rPr>
        <w:t>万元。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支持环节</w:t>
      </w:r>
      <w:r>
        <w:rPr>
          <w:rFonts w:ascii="Times New Roman" w:eastAsia="仿宋_GB2312" w:hAnsi="Times New Roman" w:cs="Times New Roman"/>
          <w:sz w:val="32"/>
          <w:szCs w:val="32"/>
        </w:rPr>
        <w:t>:</w:t>
      </w:r>
      <w:r>
        <w:rPr>
          <w:rFonts w:ascii="Times New Roman" w:eastAsia="仿宋_GB2312" w:hAnsi="Times New Roman" w:cs="Times New Roman"/>
          <w:sz w:val="32"/>
          <w:szCs w:val="32"/>
        </w:rPr>
        <w:t>主要用于支持生猪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链主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企业从境外或国家核心育种场引进良种种猪﹑建设国家级生猪核心育种场、开展生产性能测定、组建高产核心群、建设屠宰加工厂及粪污资源化利用、节水养殖、安全生产等工艺设备提升改造、新技术试验示范推广等。</w:t>
      </w:r>
    </w:p>
    <w:p w:rsidR="009E30B5" w:rsidRDefault="009E30B5" w:rsidP="009E30B5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/>
          <w:sz w:val="32"/>
          <w:szCs w:val="32"/>
        </w:rPr>
        <w:t>2.肉羊全产业链建设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补助对象</w:t>
      </w:r>
      <w:r>
        <w:rPr>
          <w:rFonts w:ascii="Times New Roman" w:eastAsia="仿宋_GB2312" w:hAnsi="Times New Roman" w:cs="Times New Roman"/>
          <w:sz w:val="32"/>
          <w:szCs w:val="32"/>
        </w:rPr>
        <w:t>:</w:t>
      </w:r>
      <w:r>
        <w:rPr>
          <w:rFonts w:ascii="Times New Roman" w:eastAsia="仿宋_GB2312" w:hAnsi="Times New Roman" w:cs="Times New Roman"/>
          <w:sz w:val="32"/>
          <w:szCs w:val="32"/>
        </w:rPr>
        <w:t>设计存栏</w:t>
      </w:r>
      <w:r>
        <w:rPr>
          <w:rFonts w:ascii="Times New Roman" w:eastAsia="仿宋_GB2312" w:hAnsi="Times New Roman" w:cs="Times New Roman"/>
          <w:sz w:val="32"/>
          <w:szCs w:val="32"/>
        </w:rPr>
        <w:t>100</w:t>
      </w:r>
      <w:r>
        <w:rPr>
          <w:rFonts w:ascii="Times New Roman" w:eastAsia="仿宋_GB2312" w:hAnsi="Times New Roman" w:cs="Times New Roman"/>
          <w:sz w:val="32"/>
          <w:szCs w:val="32"/>
        </w:rPr>
        <w:t>只以上且在农业农村部直联直报系统进行备案的规模养殖场，具备稳定良好联农带农机制的肉羊龙头企业。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补助标准</w:t>
      </w:r>
      <w:r>
        <w:rPr>
          <w:rFonts w:ascii="Times New Roman" w:eastAsia="仿宋_GB2312" w:hAnsi="Times New Roman" w:cs="Times New Roman"/>
          <w:sz w:val="32"/>
          <w:szCs w:val="32"/>
        </w:rPr>
        <w:t>:</w:t>
      </w:r>
      <w:r>
        <w:rPr>
          <w:rFonts w:ascii="Times New Roman" w:eastAsia="仿宋_GB2312" w:hAnsi="Times New Roman" w:cs="Times New Roman"/>
          <w:sz w:val="32"/>
          <w:szCs w:val="32"/>
        </w:rPr>
        <w:t>每个规模养殖场补助不超过</w:t>
      </w:r>
      <w:r>
        <w:rPr>
          <w:rFonts w:ascii="Times New Roman" w:eastAsia="仿宋_GB2312" w:hAnsi="Times New Roman" w:cs="Times New Roman"/>
          <w:sz w:val="32"/>
          <w:szCs w:val="32"/>
        </w:rPr>
        <w:t>50</w:t>
      </w:r>
      <w:r>
        <w:rPr>
          <w:rFonts w:ascii="Times New Roman" w:eastAsia="仿宋_GB2312" w:hAnsi="Times New Roman" w:cs="Times New Roman"/>
          <w:sz w:val="32"/>
          <w:szCs w:val="32"/>
        </w:rPr>
        <w:t>万元，具备稳定良好联农带农机制的肉羊龙头企业补助</w:t>
      </w:r>
      <w:r>
        <w:rPr>
          <w:rFonts w:ascii="Times New Roman" w:eastAsia="仿宋_GB2312" w:hAnsi="Times New Roman" w:cs="Times New Roman"/>
          <w:sz w:val="32"/>
          <w:szCs w:val="32"/>
        </w:rPr>
        <w:t>100-500</w:t>
      </w:r>
      <w:r>
        <w:rPr>
          <w:rFonts w:ascii="Times New Roman" w:eastAsia="仿宋_GB2312" w:hAnsi="Times New Roman" w:cs="Times New Roman"/>
          <w:sz w:val="32"/>
          <w:szCs w:val="32"/>
        </w:rPr>
        <w:t>万元。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支持环节</w:t>
      </w:r>
      <w:r>
        <w:rPr>
          <w:rFonts w:ascii="Times New Roman" w:eastAsia="仿宋_GB2312" w:hAnsi="Times New Roman" w:cs="Times New Roman"/>
          <w:sz w:val="32"/>
          <w:szCs w:val="32"/>
        </w:rPr>
        <w:t>:</w:t>
      </w:r>
      <w:r>
        <w:rPr>
          <w:rFonts w:ascii="Times New Roman" w:eastAsia="仿宋_GB2312" w:hAnsi="Times New Roman" w:cs="Times New Roman"/>
          <w:sz w:val="32"/>
          <w:szCs w:val="32"/>
        </w:rPr>
        <w:t>主要用于肉羊扩群增量，支持新建、扩建和改造提升养殖圈舍，产业化开发，改进粪污利用、节水养殖设施设备，新技术试验示范推广等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</w:p>
    <w:p w:rsidR="009E30B5" w:rsidRDefault="009E30B5" w:rsidP="009E30B5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/>
          <w:sz w:val="32"/>
          <w:szCs w:val="32"/>
        </w:rPr>
        <w:t>3.家禽全产业链建设。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补助对象</w:t>
      </w:r>
      <w:r>
        <w:rPr>
          <w:rFonts w:ascii="Times New Roman" w:eastAsia="仿宋_GB2312" w:hAnsi="Times New Roman" w:cs="Times New Roman"/>
          <w:sz w:val="32"/>
          <w:szCs w:val="32"/>
        </w:rPr>
        <w:t>:</w:t>
      </w:r>
      <w:r>
        <w:rPr>
          <w:rFonts w:ascii="Times New Roman" w:eastAsia="仿宋_GB2312" w:hAnsi="Times New Roman" w:cs="Times New Roman"/>
          <w:sz w:val="32"/>
          <w:szCs w:val="32"/>
        </w:rPr>
        <w:t>部级家禽养殖标准化示范场、家禽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链主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企业、产加销一体化龙头企业等。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补助标准</w:t>
      </w:r>
      <w:r>
        <w:rPr>
          <w:rFonts w:ascii="Times New Roman" w:eastAsia="仿宋_GB2312" w:hAnsi="Times New Roman" w:cs="Times New Roman"/>
          <w:sz w:val="32"/>
          <w:szCs w:val="32"/>
        </w:rPr>
        <w:t>:</w:t>
      </w:r>
      <w:r>
        <w:rPr>
          <w:rFonts w:ascii="Times New Roman" w:eastAsia="仿宋_GB2312" w:hAnsi="Times New Roman" w:cs="Times New Roman"/>
          <w:sz w:val="32"/>
          <w:szCs w:val="32"/>
        </w:rPr>
        <w:t>部级家禽养殖标准化示范场、具备稳定良好联农带农机制的家禽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链主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企业、产加销一体化龙头企业补助</w:t>
      </w:r>
      <w:r>
        <w:rPr>
          <w:rFonts w:ascii="Times New Roman" w:eastAsia="仿宋_GB2312" w:hAnsi="Times New Roman" w:cs="Times New Roman"/>
          <w:sz w:val="32"/>
          <w:szCs w:val="32"/>
        </w:rPr>
        <w:t>100</w:t>
      </w:r>
      <w:r>
        <w:rPr>
          <w:rFonts w:ascii="Times New Roman" w:eastAsia="仿宋_GB2312" w:hAnsi="Times New Roman" w:cs="Times New Roman"/>
          <w:sz w:val="32"/>
          <w:szCs w:val="32"/>
        </w:rPr>
        <w:t>万元，其他规模场、家禽企业补助</w:t>
      </w:r>
      <w:r>
        <w:rPr>
          <w:rFonts w:ascii="Times New Roman" w:eastAsia="仿宋_GB2312" w:hAnsi="Times New Roman" w:cs="Times New Roman"/>
          <w:sz w:val="32"/>
          <w:szCs w:val="32"/>
        </w:rPr>
        <w:t>10-50</w:t>
      </w:r>
      <w:r>
        <w:rPr>
          <w:rFonts w:ascii="Times New Roman" w:eastAsia="仿宋_GB2312" w:hAnsi="Times New Roman" w:cs="Times New Roman"/>
          <w:sz w:val="32"/>
          <w:szCs w:val="32"/>
        </w:rPr>
        <w:t>万元。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支持环节</w:t>
      </w:r>
      <w:r>
        <w:rPr>
          <w:rFonts w:ascii="Times New Roman" w:eastAsia="仿宋_GB2312" w:hAnsi="Times New Roman" w:cs="Times New Roman"/>
          <w:sz w:val="32"/>
          <w:szCs w:val="32"/>
        </w:rPr>
        <w:t>:</w:t>
      </w:r>
      <w:r>
        <w:rPr>
          <w:rFonts w:ascii="Times New Roman" w:eastAsia="仿宋_GB2312" w:hAnsi="Times New Roman" w:cs="Times New Roman"/>
          <w:sz w:val="32"/>
          <w:szCs w:val="32"/>
        </w:rPr>
        <w:t>主要用于完善良种繁育体系、养殖场标准化生产能力提升、屠宰加工厂能力提升、圈舍改扩建、粪污处理利用工艺设备提升改造及品牌打造、新技术试验示范推广等。</w:t>
      </w:r>
    </w:p>
    <w:p w:rsidR="009E30B5" w:rsidRDefault="009E30B5" w:rsidP="009E30B5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二、千亿级设施农业</w:t>
      </w:r>
    </w:p>
    <w:p w:rsidR="009E30B5" w:rsidRDefault="009E30B5" w:rsidP="009E30B5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（一）建设内容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育苗基地建设。围绕规模化生产基地，按照每万亩基地配套一处工厂化育苗中心的布局，支持建设蔬菜工厂化育苗中心，每个工厂化育苗中心</w:t>
      </w:r>
      <w:r>
        <w:rPr>
          <w:rFonts w:ascii="Times New Roman" w:eastAsia="仿宋_GB2312" w:hAnsi="Times New Roman" w:cs="Times New Roman"/>
          <w:sz w:val="32"/>
          <w:szCs w:val="32"/>
        </w:rPr>
        <w:t>4000</w:t>
      </w:r>
      <w:r>
        <w:rPr>
          <w:rFonts w:ascii="Times New Roman" w:eastAsia="仿宋_GB2312" w:hAnsi="Times New Roman" w:cs="Times New Roman"/>
          <w:sz w:val="32"/>
          <w:szCs w:val="32"/>
        </w:rPr>
        <w:t>平方米以上，并配套有设施农业基地</w:t>
      </w:r>
      <w:r>
        <w:rPr>
          <w:rFonts w:ascii="Times New Roman" w:eastAsia="仿宋_GB2312" w:hAnsi="Times New Roman" w:cs="Times New Roman"/>
          <w:sz w:val="32"/>
          <w:szCs w:val="32"/>
        </w:rPr>
        <w:t>100</w:t>
      </w:r>
      <w:r>
        <w:rPr>
          <w:rFonts w:ascii="Times New Roman" w:eastAsia="仿宋_GB2312" w:hAnsi="Times New Roman" w:cs="Times New Roman"/>
          <w:sz w:val="32"/>
          <w:szCs w:val="32"/>
        </w:rPr>
        <w:t>亩以上，提高种苗供应能力和示范展示效应。</w:t>
      </w:r>
    </w:p>
    <w:p w:rsidR="009E30B5" w:rsidRDefault="009E30B5" w:rsidP="009E30B5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</w:t>
      </w:r>
      <w:r>
        <w:rPr>
          <w:rFonts w:ascii="楷体_GB2312" w:eastAsia="楷体_GB2312" w:hAnsi="楷体_GB2312" w:cs="楷体_GB2312"/>
          <w:sz w:val="32"/>
          <w:szCs w:val="32"/>
        </w:rPr>
        <w:t>补助标准、环节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育苗基地建设。每个育苗中心或繁育基地补助不超过</w:t>
      </w:r>
      <w:r>
        <w:rPr>
          <w:rFonts w:ascii="Times New Roman" w:eastAsia="仿宋_GB2312" w:hAnsi="Times New Roman" w:cs="Times New Roman"/>
          <w:sz w:val="32"/>
          <w:szCs w:val="32"/>
        </w:rPr>
        <w:t>200</w:t>
      </w:r>
      <w:r>
        <w:rPr>
          <w:rFonts w:ascii="Times New Roman" w:eastAsia="仿宋_GB2312" w:hAnsi="Times New Roman" w:cs="Times New Roman"/>
          <w:sz w:val="32"/>
          <w:szCs w:val="32"/>
        </w:rPr>
        <w:t>万元，主要用于智能连栋棚体建设和苗床配套等。</w:t>
      </w:r>
    </w:p>
    <w:p w:rsidR="009E30B5" w:rsidRDefault="009E30B5" w:rsidP="009E30B5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</w:t>
      </w:r>
      <w:r>
        <w:rPr>
          <w:rFonts w:ascii="楷体_GB2312" w:eastAsia="楷体_GB2312" w:hAnsi="楷体_GB2312" w:cs="楷体_GB2312"/>
          <w:sz w:val="32"/>
          <w:szCs w:val="32"/>
        </w:rPr>
        <w:t>补助对象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优先支持蔬菜、食用菌专业合作社、家庭农场和具有稳定良好联农带农机制的链主、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企业及</w:t>
      </w:r>
      <w:r>
        <w:rPr>
          <w:rFonts w:ascii="Times New Roman" w:eastAsia="仿宋_GB2312" w:hAnsi="Times New Roman" w:cs="Times New Roman"/>
          <w:sz w:val="32"/>
          <w:szCs w:val="32"/>
        </w:rPr>
        <w:t>龙头企业等。</w:t>
      </w:r>
    </w:p>
    <w:p w:rsidR="009E30B5" w:rsidRDefault="009E30B5" w:rsidP="009E30B5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三、千亿级果业</w:t>
      </w:r>
    </w:p>
    <w:p w:rsidR="009E30B5" w:rsidRDefault="009E30B5" w:rsidP="009E30B5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</w:t>
      </w:r>
      <w:r>
        <w:rPr>
          <w:rFonts w:ascii="楷体_GB2312" w:eastAsia="楷体_GB2312" w:hAnsi="楷体_GB2312" w:cs="楷体_GB2312"/>
          <w:sz w:val="32"/>
          <w:szCs w:val="32"/>
        </w:rPr>
        <w:t>建设内容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突出特色果业石榴，聚焦优化前端、培育中端、提升后端三个环节，采用全链示范与环节示范相结合、整区推进和整街推进相结合方式，实施种苗繁育体系、标准化果园、采后处理中心建设和低质低效果园改造，开展新品种新技术试验示范和产业综合服务等。</w:t>
      </w:r>
    </w:p>
    <w:p w:rsidR="009E30B5" w:rsidRDefault="009E30B5" w:rsidP="009E30B5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</w:t>
      </w:r>
      <w:r>
        <w:rPr>
          <w:rFonts w:ascii="楷体_GB2312" w:eastAsia="楷体_GB2312" w:hAnsi="楷体_GB2312" w:cs="楷体_GB2312"/>
          <w:sz w:val="32"/>
          <w:szCs w:val="32"/>
        </w:rPr>
        <w:t>补助对象及标准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支持石榴特色果业发展、标准化园区建设、老园改造、苗木繁育等生产选育环节提质增效，提升特色果业生产发展水平，根据建设规模与内容予以相应补助。</w:t>
      </w:r>
    </w:p>
    <w:p w:rsidR="009E30B5" w:rsidRDefault="009E30B5" w:rsidP="009E30B5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（三）资金支持环节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重点支持棚架等设施改造提升、水肥一体化、土壤有机质提升、苗木繁育所需的设备提升、物资购置等。</w:t>
      </w:r>
    </w:p>
    <w:p w:rsidR="009E30B5" w:rsidRDefault="009E30B5" w:rsidP="009E30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农业生产发展项目资金分配计划表</w:t>
      </w:r>
    </w:p>
    <w:p w:rsidR="009E30B5" w:rsidRDefault="009E30B5" w:rsidP="009E30B5">
      <w:r>
        <w:rPr>
          <w:rFonts w:hint="eastAsia"/>
        </w:rPr>
        <w:br w:type="page"/>
      </w:r>
    </w:p>
    <w:p w:rsidR="009E30B5" w:rsidRDefault="009E30B5" w:rsidP="009E30B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附</w:t>
      </w:r>
      <w:r>
        <w:rPr>
          <w:rFonts w:hint="eastAsia"/>
          <w:sz w:val="32"/>
          <w:szCs w:val="32"/>
        </w:rPr>
        <w:t>1-1</w:t>
      </w:r>
    </w:p>
    <w:p w:rsidR="009E30B5" w:rsidRDefault="009E30B5" w:rsidP="009E30B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农业生产发展项目资金分配计划表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50"/>
        <w:gridCol w:w="4314"/>
        <w:gridCol w:w="1632"/>
      </w:tblGrid>
      <w:tr w:rsidR="009E30B5" w:rsidTr="00F64C31">
        <w:tc>
          <w:tcPr>
            <w:tcW w:w="2577" w:type="dxa"/>
            <w:vAlign w:val="center"/>
          </w:tcPr>
          <w:p w:rsidR="009E30B5" w:rsidRDefault="009E30B5" w:rsidP="00F64C3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项目类别</w:t>
            </w:r>
          </w:p>
        </w:tc>
        <w:tc>
          <w:tcPr>
            <w:tcW w:w="4747" w:type="dxa"/>
            <w:vAlign w:val="center"/>
          </w:tcPr>
          <w:p w:rsidR="009E30B5" w:rsidRDefault="009E30B5" w:rsidP="00F64C3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建设内容</w:t>
            </w:r>
          </w:p>
        </w:tc>
        <w:tc>
          <w:tcPr>
            <w:tcW w:w="1737" w:type="dxa"/>
            <w:vAlign w:val="center"/>
          </w:tcPr>
          <w:p w:rsidR="009E30B5" w:rsidRDefault="009E30B5" w:rsidP="00F64C3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资金（万元）</w:t>
            </w:r>
          </w:p>
        </w:tc>
      </w:tr>
      <w:tr w:rsidR="009E30B5" w:rsidTr="00F64C31">
        <w:tc>
          <w:tcPr>
            <w:tcW w:w="2577" w:type="dxa"/>
            <w:vAlign w:val="center"/>
          </w:tcPr>
          <w:p w:rsidR="009E30B5" w:rsidRDefault="009E30B5" w:rsidP="00F64C3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千亿级畜牧业</w:t>
            </w:r>
          </w:p>
        </w:tc>
        <w:tc>
          <w:tcPr>
            <w:tcW w:w="4747" w:type="dxa"/>
            <w:vAlign w:val="center"/>
          </w:tcPr>
          <w:p w:rsidR="009E30B5" w:rsidRDefault="009E30B5" w:rsidP="00F64C3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支持肉羊产业发展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200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万元，扶持规模场不少于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个；支持生猪、家禽产业发展各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50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万元，扶持规模场不少于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个</w:t>
            </w:r>
          </w:p>
        </w:tc>
        <w:tc>
          <w:tcPr>
            <w:tcW w:w="1737" w:type="dxa"/>
            <w:vAlign w:val="center"/>
          </w:tcPr>
          <w:p w:rsidR="009E30B5" w:rsidRDefault="009E30B5" w:rsidP="00F64C3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300</w:t>
            </w:r>
          </w:p>
        </w:tc>
      </w:tr>
      <w:tr w:rsidR="009E30B5" w:rsidTr="00F64C31">
        <w:tc>
          <w:tcPr>
            <w:tcW w:w="2577" w:type="dxa"/>
            <w:vAlign w:val="center"/>
          </w:tcPr>
          <w:p w:rsidR="009E30B5" w:rsidRDefault="009E30B5" w:rsidP="00F64C3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千亿级设施农业</w:t>
            </w:r>
          </w:p>
        </w:tc>
        <w:tc>
          <w:tcPr>
            <w:tcW w:w="4747" w:type="dxa"/>
            <w:vAlign w:val="center"/>
          </w:tcPr>
          <w:p w:rsidR="009E30B5" w:rsidRDefault="009E30B5" w:rsidP="00F64C3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育苗基地</w:t>
            </w:r>
          </w:p>
        </w:tc>
        <w:tc>
          <w:tcPr>
            <w:tcW w:w="1737" w:type="dxa"/>
            <w:vAlign w:val="center"/>
          </w:tcPr>
          <w:p w:rsidR="009E30B5" w:rsidRDefault="009E30B5" w:rsidP="00F64C3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200</w:t>
            </w:r>
          </w:p>
        </w:tc>
      </w:tr>
      <w:tr w:rsidR="009E30B5" w:rsidTr="00F64C31">
        <w:trPr>
          <w:trHeight w:val="669"/>
        </w:trPr>
        <w:tc>
          <w:tcPr>
            <w:tcW w:w="2577" w:type="dxa"/>
            <w:vAlign w:val="center"/>
          </w:tcPr>
          <w:p w:rsidR="009E30B5" w:rsidRDefault="009E30B5" w:rsidP="00F64C3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千亿级果业</w:t>
            </w:r>
          </w:p>
        </w:tc>
        <w:tc>
          <w:tcPr>
            <w:tcW w:w="4747" w:type="dxa"/>
            <w:vAlign w:val="center"/>
          </w:tcPr>
          <w:p w:rsidR="009E30B5" w:rsidRDefault="009E30B5" w:rsidP="00F64C3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石榴新品种新技术和避雨设施</w:t>
            </w:r>
          </w:p>
        </w:tc>
        <w:tc>
          <w:tcPr>
            <w:tcW w:w="1737" w:type="dxa"/>
            <w:vAlign w:val="center"/>
          </w:tcPr>
          <w:p w:rsidR="009E30B5" w:rsidRDefault="009E30B5" w:rsidP="00F64C3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200</w:t>
            </w:r>
          </w:p>
        </w:tc>
      </w:tr>
      <w:tr w:rsidR="009E30B5" w:rsidTr="00F64C31">
        <w:tc>
          <w:tcPr>
            <w:tcW w:w="7324" w:type="dxa"/>
            <w:gridSpan w:val="2"/>
            <w:vAlign w:val="center"/>
          </w:tcPr>
          <w:p w:rsidR="009E30B5" w:rsidRDefault="009E30B5" w:rsidP="00F64C3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合计</w:t>
            </w:r>
          </w:p>
        </w:tc>
        <w:tc>
          <w:tcPr>
            <w:tcW w:w="1737" w:type="dxa"/>
            <w:vAlign w:val="center"/>
          </w:tcPr>
          <w:p w:rsidR="009E30B5" w:rsidRDefault="009E30B5" w:rsidP="00F64C3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700</w:t>
            </w:r>
          </w:p>
        </w:tc>
      </w:tr>
    </w:tbl>
    <w:p w:rsidR="009E30B5" w:rsidRDefault="009E30B5" w:rsidP="009E30B5"/>
    <w:p w:rsidR="009E30B5" w:rsidRDefault="009E30B5" w:rsidP="009E30B5"/>
    <w:p w:rsidR="009E30B5" w:rsidRDefault="009E30B5" w:rsidP="009E30B5"/>
    <w:p w:rsidR="009E30B5" w:rsidRDefault="009E30B5" w:rsidP="009E30B5"/>
    <w:p w:rsidR="009E30B5" w:rsidRDefault="009E30B5" w:rsidP="009E30B5"/>
    <w:p w:rsidR="009E30B5" w:rsidRDefault="009E30B5" w:rsidP="009E30B5"/>
    <w:p w:rsidR="009E30B5" w:rsidRDefault="009E30B5" w:rsidP="009E30B5">
      <w:r>
        <w:br w:type="page"/>
      </w:r>
    </w:p>
    <w:p w:rsidR="0096178D" w:rsidRDefault="0096178D">
      <w:bookmarkStart w:id="0" w:name="_GoBack"/>
      <w:bookmarkEnd w:id="0"/>
    </w:p>
    <w:sectPr w:rsidR="009617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5598" w:rsidRDefault="001C5598" w:rsidP="009E30B5">
      <w:r>
        <w:separator/>
      </w:r>
    </w:p>
  </w:endnote>
  <w:endnote w:type="continuationSeparator" w:id="0">
    <w:p w:rsidR="001C5598" w:rsidRDefault="001C5598" w:rsidP="009E3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5598" w:rsidRDefault="001C5598" w:rsidP="009E30B5">
      <w:r>
        <w:separator/>
      </w:r>
    </w:p>
  </w:footnote>
  <w:footnote w:type="continuationSeparator" w:id="0">
    <w:p w:rsidR="001C5598" w:rsidRDefault="001C5598" w:rsidP="009E30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612"/>
    <w:rsid w:val="001C5598"/>
    <w:rsid w:val="0096178D"/>
    <w:rsid w:val="009E30B5"/>
    <w:rsid w:val="00F36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727967-4A78-4B48-9938-3EB8EA976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0B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30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30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30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30B5"/>
    <w:rPr>
      <w:sz w:val="18"/>
      <w:szCs w:val="18"/>
    </w:rPr>
  </w:style>
  <w:style w:type="table" w:styleId="a5">
    <w:name w:val="Table Grid"/>
    <w:basedOn w:val="a1"/>
    <w:qFormat/>
    <w:rsid w:val="009E30B5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2023-07-10T01:15:00Z</dcterms:created>
  <dcterms:modified xsi:type="dcterms:W3CDTF">2023-07-10T01:15:00Z</dcterms:modified>
</cp:coreProperties>
</file>