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color w:val="auto"/>
          <w:sz w:val="32"/>
          <w:szCs w:val="32"/>
        </w:rPr>
      </w:pPr>
      <w:r>
        <w:rPr>
          <w:rFonts w:hint="eastAsia" w:ascii="黑体" w:hAnsi="黑体" w:eastAsia="黑体" w:cs="黑体"/>
          <w:color w:val="auto"/>
          <w:sz w:val="32"/>
          <w:szCs w:val="32"/>
        </w:rPr>
        <w:t>附件4</w:t>
      </w:r>
    </w:p>
    <w:p>
      <w:pPr>
        <w:spacing w:line="560" w:lineRule="exact"/>
        <w:jc w:val="center"/>
        <w:rPr>
          <w:rFonts w:hint="eastAsia" w:ascii="方正小标宋简体" w:hAnsi="方正小标宋简体" w:eastAsia="方正小标宋简体" w:cs="方正小标宋简体"/>
          <w:color w:val="auto"/>
          <w:spacing w:val="-12"/>
          <w:sz w:val="44"/>
          <w:szCs w:val="44"/>
        </w:rPr>
      </w:pPr>
      <w:r>
        <w:rPr>
          <w:rFonts w:hint="eastAsia" w:ascii="方正小标宋简体" w:hAnsi="方正小标宋简体" w:eastAsia="方正小标宋简体" w:cs="方正小标宋简体"/>
          <w:b w:val="0"/>
          <w:bCs w:val="0"/>
          <w:color w:val="auto"/>
          <w:spacing w:val="-12"/>
          <w:sz w:val="44"/>
          <w:szCs w:val="44"/>
        </w:rPr>
        <w:t>关于部分检验项目的说明</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eastAsia="黑体" w:cs="黑体"/>
          <w:color w:val="auto"/>
          <w:sz w:val="32"/>
          <w:szCs w:val="32"/>
          <w:lang w:val="en-US" w:eastAsia="zh-CN"/>
        </w:rPr>
      </w:pPr>
      <w:r>
        <w:rPr>
          <w:rFonts w:hint="eastAsia" w:eastAsia="黑体" w:cs="黑体"/>
          <w:color w:val="auto"/>
          <w:sz w:val="32"/>
          <w:szCs w:val="32"/>
          <w:lang w:val="en-US" w:eastAsia="zh-CN"/>
        </w:rPr>
        <w:t>一、</w:t>
      </w:r>
      <w:r>
        <w:rPr>
          <w:rFonts w:hint="eastAsia" w:ascii="Tahoma" w:hAnsi="Tahoma" w:eastAsia="黑体" w:cs="黑体"/>
          <w:color w:val="auto"/>
          <w:kern w:val="0"/>
          <w:sz w:val="32"/>
          <w:szCs w:val="32"/>
          <w:lang w:val="en-US" w:eastAsia="zh-CN" w:bidi="ar-SA"/>
        </w:rPr>
        <w:t>啶虫脒</w:t>
      </w:r>
    </w:p>
    <w:p>
      <w:pPr>
        <w:keepNext w:val="0"/>
        <w:keepLines w:val="0"/>
        <w:widowControl/>
        <w:suppressLineNumbers w:val="0"/>
        <w:spacing w:line="360" w:lineRule="auto"/>
        <w:ind w:firstLine="640" w:firstLineChars="200"/>
        <w:jc w:val="left"/>
        <w:rPr>
          <w:rFonts w:hint="eastAsia" w:ascii="仿宋_GB2312" w:hAnsi="黑体" w:eastAsia="仿宋_GB2312" w:cstheme="minorBidi"/>
          <w:color w:val="auto"/>
          <w:kern w:val="0"/>
          <w:sz w:val="32"/>
          <w:szCs w:val="32"/>
          <w:lang w:val="en-US" w:eastAsia="zh-CN" w:bidi="ar-SA"/>
        </w:rPr>
      </w:pPr>
      <w:r>
        <w:rPr>
          <w:rFonts w:hint="eastAsia" w:ascii="仿宋_GB2312" w:hAnsi="黑体" w:eastAsia="仿宋_GB2312" w:cstheme="minorBidi"/>
          <w:color w:val="auto"/>
          <w:kern w:val="0"/>
          <w:sz w:val="32"/>
          <w:szCs w:val="32"/>
          <w:lang w:val="en-US" w:eastAsia="zh-CN" w:bidi="ar-SA"/>
        </w:rPr>
        <w:t>啶虫脒是一种具有触杀、渗透和传导作用的新型广谱低毒杀虫剂，作用于昆虫神经系统突触部位的烟碱乙酰胆碱受体，干扰昆虫神经系统的刺激传导，引起神经系统通路阻塞，造成神经递质乙酰胆碱在突触部位的积累，从而导致昆虫麻痹，最终死亡。造成啶虫脒不合格的主要原因可能是一些农产品种植者为了增强防治效果，从而使用过量。</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eastAsia="黑体" w:cs="黑体"/>
          <w:color w:val="auto"/>
          <w:sz w:val="32"/>
          <w:szCs w:val="32"/>
          <w:lang w:val="en-US" w:eastAsia="zh-CN"/>
        </w:rPr>
      </w:pPr>
      <w:r>
        <w:rPr>
          <w:rFonts w:hint="eastAsia" w:eastAsia="黑体" w:cs="黑体"/>
          <w:color w:val="auto"/>
          <w:sz w:val="32"/>
          <w:szCs w:val="32"/>
          <w:lang w:val="en-US" w:eastAsia="zh-CN"/>
        </w:rPr>
        <w:t>二、脱氢乙酸及其钠盐(以脱氢乙酸计)</w:t>
      </w:r>
    </w:p>
    <w:p>
      <w:pPr>
        <w:keepNext w:val="0"/>
        <w:keepLines w:val="0"/>
        <w:widowControl/>
        <w:suppressLineNumbers w:val="0"/>
        <w:spacing w:line="360" w:lineRule="auto"/>
        <w:ind w:firstLine="640" w:firstLineChars="200"/>
        <w:jc w:val="left"/>
        <w:rPr>
          <w:rFonts w:hint="eastAsia" w:ascii="仿宋_GB2312" w:hAnsi="黑体" w:eastAsia="仿宋_GB2312" w:cstheme="minorBidi"/>
          <w:color w:val="auto"/>
          <w:kern w:val="0"/>
          <w:sz w:val="32"/>
          <w:szCs w:val="32"/>
          <w:lang w:val="en-US" w:eastAsia="zh-CN" w:bidi="ar-SA"/>
        </w:rPr>
        <w:sectPr>
          <w:pgSz w:w="11906" w:h="16838"/>
          <w:pgMar w:top="1440" w:right="1800" w:bottom="1440" w:left="1800" w:header="708" w:footer="708" w:gutter="0"/>
          <w:cols w:space="708" w:num="1"/>
          <w:docGrid w:linePitch="360" w:charSpace="0"/>
        </w:sectPr>
      </w:pPr>
      <w:r>
        <w:rPr>
          <w:rFonts w:hint="eastAsia" w:ascii="仿宋_GB2312" w:hAnsi="黑体" w:eastAsia="仿宋_GB2312" w:cstheme="minorBidi"/>
          <w:color w:val="auto"/>
          <w:kern w:val="0"/>
          <w:sz w:val="32"/>
          <w:szCs w:val="32"/>
          <w:lang w:val="en-US" w:eastAsia="zh-CN" w:bidi="ar-SA"/>
        </w:rPr>
        <w:t>脱氢乙酸及其钠盐(以脱氢乙酸计)是一种广谱食品防腐剂，毒性较低，对霉菌、 酵母和细菌有较好的抑制作用。《食品安全国家标准食品添加剂使用标准》 （</w:t>
      </w:r>
      <w:r>
        <w:rPr>
          <w:rFonts w:hint="default" w:ascii="仿宋_GB2312" w:hAnsi="黑体" w:eastAsia="仿宋_GB2312" w:cstheme="minorBidi"/>
          <w:color w:val="auto"/>
          <w:kern w:val="0"/>
          <w:sz w:val="32"/>
          <w:szCs w:val="32"/>
          <w:lang w:val="en-US" w:eastAsia="zh-CN" w:bidi="ar-SA"/>
        </w:rPr>
        <w:t>GB 2760</w:t>
      </w:r>
      <w:r>
        <w:rPr>
          <w:rFonts w:hint="eastAsia" w:ascii="仿宋_GB2312" w:hAnsi="黑体" w:eastAsia="仿宋_GB2312" w:cstheme="minorBidi"/>
          <w:color w:val="auto"/>
          <w:kern w:val="0"/>
          <w:sz w:val="32"/>
          <w:szCs w:val="32"/>
          <w:lang w:val="en-US" w:eastAsia="zh-CN" w:bidi="ar-SA"/>
        </w:rPr>
        <w:t>-</w:t>
      </w:r>
      <w:r>
        <w:rPr>
          <w:rFonts w:hint="default" w:ascii="仿宋_GB2312" w:hAnsi="黑体" w:eastAsia="仿宋_GB2312" w:cstheme="minorBidi"/>
          <w:color w:val="auto"/>
          <w:kern w:val="0"/>
          <w:sz w:val="32"/>
          <w:szCs w:val="32"/>
          <w:lang w:val="en-US" w:eastAsia="zh-CN" w:bidi="ar-SA"/>
        </w:rPr>
        <w:t>2014</w:t>
      </w:r>
      <w:r>
        <w:rPr>
          <w:rFonts w:hint="eastAsia" w:ascii="仿宋_GB2312" w:hAnsi="黑体" w:eastAsia="仿宋_GB2312" w:cstheme="minorBidi"/>
          <w:color w:val="auto"/>
          <w:kern w:val="0"/>
          <w:sz w:val="32"/>
          <w:szCs w:val="32"/>
          <w:lang w:val="en-US" w:eastAsia="zh-CN" w:bidi="ar-SA"/>
        </w:rPr>
        <w:t>）中规定，粮食加工品中不得使用脱氢乙酸及其钠盐（以 脱氢乙酸计）。脱氢乙酸能被人体完全吸收，并能抑制人体内多种氧化酶， 长期过量摄入脱氢乙酸及其钠盐可能会危害人体健康。造成脱氢乙酸超标的原因，可能是个别企业为防止食品腐败变质，超范围使用该添加剂，或者其使用的复配添加剂中该添加剂含量较高。</w:t>
      </w:r>
    </w:p>
    <w:p>
      <w:pPr>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firstLine="640" w:firstLineChars="200"/>
        <w:textAlignment w:val="auto"/>
        <w:rPr>
          <w:rFonts w:hint="eastAsia" w:eastAsia="黑体" w:cs="黑体"/>
          <w:color w:val="auto"/>
          <w:sz w:val="32"/>
          <w:szCs w:val="32"/>
          <w:lang w:val="en-US" w:eastAsia="zh-CN"/>
        </w:rPr>
      </w:pPr>
      <w:r>
        <w:rPr>
          <w:rFonts w:hint="eastAsia" w:eastAsia="黑体" w:cs="黑体"/>
          <w:color w:val="auto"/>
          <w:sz w:val="32"/>
          <w:szCs w:val="32"/>
          <w:lang w:val="en-US" w:eastAsia="zh-CN"/>
        </w:rPr>
        <w:t>噻虫胺</w:t>
      </w:r>
    </w:p>
    <w:p>
      <w:pPr>
        <w:keepNext w:val="0"/>
        <w:keepLines w:val="0"/>
        <w:widowControl/>
        <w:suppressLineNumbers w:val="0"/>
        <w:spacing w:line="360" w:lineRule="auto"/>
        <w:ind w:firstLine="640" w:firstLineChars="200"/>
        <w:jc w:val="left"/>
        <w:rPr>
          <w:rFonts w:hint="eastAsia" w:ascii="仿宋_GB2312" w:hAnsi="黑体" w:eastAsia="仿宋_GB2312" w:cstheme="minorBidi"/>
          <w:color w:val="auto"/>
          <w:kern w:val="0"/>
          <w:sz w:val="32"/>
          <w:szCs w:val="32"/>
          <w:lang w:val="en-US" w:eastAsia="zh-CN" w:bidi="ar-SA"/>
        </w:rPr>
      </w:pPr>
      <w:r>
        <w:rPr>
          <w:rFonts w:hint="eastAsia" w:ascii="仿宋_GB2312" w:hAnsi="黑体" w:eastAsia="仿宋_GB2312" w:cstheme="minorBidi"/>
          <w:color w:val="auto"/>
          <w:kern w:val="0"/>
          <w:sz w:val="32"/>
          <w:szCs w:val="32"/>
          <w:lang w:val="en-US" w:eastAsia="zh-CN" w:bidi="ar-SA"/>
        </w:rPr>
        <w:t>新烟碱类中的一种杀虫剂，是一类高效安全、高选择性的新型杀虫剂，具有触杀、胃毒和内吸活性。主要用于水稻、蔬菜、果树及其他作物上防治蚜虫、叶蝉、蓟马、飞虱等半翅目、鞘翅目、双翅目和某些鳞翅目类害虫的杀虫剂。姜和辣椒中噻虫胺残留量超标的原因，可能是为快速控制虫害，加大用药量或未遵守采摘间隔期规定，致使上市销售的产品中残留量超标。</w:t>
      </w:r>
    </w:p>
    <w:p>
      <w:pPr>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firstLine="640" w:firstLineChars="200"/>
        <w:textAlignment w:val="auto"/>
        <w:rPr>
          <w:rFonts w:hint="eastAsia" w:eastAsia="黑体" w:cs="黑体"/>
          <w:color w:val="auto"/>
          <w:sz w:val="32"/>
          <w:szCs w:val="32"/>
          <w:lang w:val="en-US" w:eastAsia="zh-CN"/>
        </w:rPr>
      </w:pPr>
      <w:r>
        <w:rPr>
          <w:rFonts w:hint="eastAsia" w:eastAsia="黑体" w:cs="黑体"/>
          <w:color w:val="auto"/>
          <w:sz w:val="32"/>
          <w:szCs w:val="32"/>
          <w:lang w:val="en-US" w:eastAsia="zh-CN"/>
        </w:rPr>
        <w:t xml:space="preserve">吡唑醚菌酯 </w:t>
      </w:r>
    </w:p>
    <w:p>
      <w:pPr>
        <w:keepNext w:val="0"/>
        <w:keepLines w:val="0"/>
        <w:pageBreakBefore w:val="0"/>
        <w:widowControl/>
        <w:numPr>
          <w:numId w:val="0"/>
        </w:numPr>
        <w:kinsoku/>
        <w:wordWrap/>
        <w:overflowPunct/>
        <w:topLinePunct w:val="0"/>
        <w:autoSpaceDE/>
        <w:autoSpaceDN/>
        <w:bidi w:val="0"/>
        <w:adjustRightInd w:val="0"/>
        <w:snapToGrid w:val="0"/>
        <w:spacing w:line="560" w:lineRule="exact"/>
        <w:textAlignment w:val="auto"/>
        <w:rPr>
          <w:rFonts w:hint="eastAsia" w:ascii="仿宋_GB2312" w:hAnsi="黑体" w:eastAsia="仿宋_GB2312" w:cstheme="minorBidi"/>
          <w:color w:val="auto"/>
          <w:kern w:val="0"/>
          <w:sz w:val="32"/>
          <w:szCs w:val="32"/>
          <w:lang w:val="en-US" w:eastAsia="zh-CN" w:bidi="ar-SA"/>
        </w:rPr>
      </w:pPr>
      <w:r>
        <w:rPr>
          <w:rFonts w:hint="eastAsia" w:eastAsia="黑体" w:cs="黑体"/>
          <w:color w:val="auto"/>
          <w:sz w:val="32"/>
          <w:szCs w:val="32"/>
          <w:lang w:val="en-US" w:eastAsia="zh-CN"/>
        </w:rPr>
        <w:t xml:space="preserve">   </w:t>
      </w:r>
      <w:r>
        <w:rPr>
          <w:rFonts w:hint="eastAsia" w:ascii="仿宋_GB2312" w:hAnsi="黑体" w:eastAsia="仿宋_GB2312" w:cstheme="minorBidi"/>
          <w:color w:val="auto"/>
          <w:kern w:val="0"/>
          <w:sz w:val="32"/>
          <w:szCs w:val="32"/>
          <w:lang w:val="en-US" w:eastAsia="zh-CN" w:bidi="ar-SA"/>
        </w:rPr>
        <w:t>吡唑醚菌酯，是一种甲氧基氨基甲酸酯类杀菌剂，通过抑制菌株的呼吸作用，进而达到杀菌的效果，可防治香蕉等黑星病、叶斑病等。有关专家表示，食用食品一般不会导致吡唑醚菌酯的急性中毒，但长期食用吡唑醚菌酯超标的食品，对人体健康也有一定影响。《食品安全国家标准 食品中农药最大残留限量》（GB 2763—2021）中规定，吡唑醚菌酯在芒果中的最大残留限量值为0.05mg/kg。芒果中吡唑醚菌酯残留量超标的原因，可能是为快速控制病情，加大用药量或未遵守采摘间隔期规定，致使上市销售的产品中残留量超标。</w:t>
      </w:r>
    </w:p>
    <w:p>
      <w:pPr>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firstLine="640" w:firstLineChars="200"/>
        <w:textAlignment w:val="auto"/>
        <w:rPr>
          <w:rFonts w:hint="eastAsia" w:eastAsia="黑体" w:cs="黑体"/>
          <w:color w:val="auto"/>
          <w:sz w:val="32"/>
          <w:szCs w:val="32"/>
          <w:lang w:val="en-US" w:eastAsia="zh-CN"/>
        </w:rPr>
      </w:pPr>
      <w:r>
        <w:rPr>
          <w:rFonts w:hint="eastAsia" w:eastAsia="黑体" w:cs="黑体"/>
          <w:color w:val="auto"/>
          <w:sz w:val="32"/>
          <w:szCs w:val="32"/>
          <w:lang w:val="en-US" w:eastAsia="zh-CN"/>
        </w:rPr>
        <w:t>水胺硫磷</w:t>
      </w:r>
    </w:p>
    <w:p>
      <w:pPr>
        <w:pStyle w:val="2"/>
        <w:spacing w:line="360" w:lineRule="auto"/>
        <w:ind w:firstLine="640" w:firstLineChars="200"/>
        <w:rPr>
          <w:rFonts w:hint="eastAsia" w:ascii="仿宋_GB2312" w:hAnsi="黑体" w:eastAsia="仿宋_GB2312" w:cstheme="minorBidi"/>
          <w:color w:val="auto"/>
          <w:kern w:val="0"/>
          <w:sz w:val="32"/>
          <w:szCs w:val="32"/>
          <w:lang w:val="en-US" w:eastAsia="zh-CN" w:bidi="ar-SA"/>
        </w:rPr>
      </w:pPr>
      <w:r>
        <w:rPr>
          <w:rFonts w:hint="eastAsia" w:ascii="仿宋_GB2312" w:hAnsi="黑体" w:eastAsia="仿宋_GB2312" w:cstheme="minorBidi"/>
          <w:color w:val="auto"/>
          <w:kern w:val="0"/>
          <w:sz w:val="32"/>
          <w:szCs w:val="32"/>
          <w:lang w:val="en-US" w:eastAsia="zh-CN" w:bidi="ar-SA"/>
        </w:rPr>
        <w:t>水胺硫磷是一种广谱、高效、高毒性、低残留的硫代磷酰胺类杀虫剂，兼具胃毒和杀卵作用，主要用于防治果树、水稻和棉花害虫。少量的残留不会引起人体急性中毒，但长期食用水胺硫磷超标的食品，可能对人体健康有一定影响。《食品安全国家标准 食品中农药最大残留限量》（GB 2763—2021）中规定，水胺硫磷在豆类蔬菜和鳞茎类蔬菜中的最大残留限量值为0.05mg/kg。水胺硫磷超标的原因，可能是为快速控制病情加大用药量或未遵守采摘间隔期规定，致使上市销售时产品中的药物残留量未降解至标准限量值以下。</w:t>
      </w:r>
    </w:p>
    <w:p>
      <w:pPr>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firstLine="640" w:firstLineChars="200"/>
        <w:textAlignment w:val="auto"/>
        <w:rPr>
          <w:rFonts w:hint="eastAsia" w:eastAsia="黑体" w:cs="黑体"/>
          <w:color w:val="auto"/>
          <w:sz w:val="32"/>
          <w:szCs w:val="32"/>
          <w:lang w:val="en-US" w:eastAsia="zh-CN"/>
        </w:rPr>
      </w:pPr>
      <w:r>
        <w:rPr>
          <w:rFonts w:hint="eastAsia" w:eastAsia="黑体" w:cs="黑体"/>
          <w:color w:val="auto"/>
          <w:sz w:val="32"/>
          <w:szCs w:val="32"/>
          <w:lang w:val="en-US" w:eastAsia="zh-CN"/>
        </w:rPr>
        <w:t>噻虫嗪</w:t>
      </w:r>
    </w:p>
    <w:p>
      <w:pPr>
        <w:keepNext w:val="0"/>
        <w:keepLines w:val="0"/>
        <w:widowControl/>
        <w:suppressLineNumbers w:val="0"/>
        <w:spacing w:line="360" w:lineRule="auto"/>
        <w:ind w:firstLine="640" w:firstLineChars="200"/>
        <w:jc w:val="left"/>
      </w:pPr>
      <w:r>
        <w:rPr>
          <w:rFonts w:hint="eastAsia" w:ascii="仿宋_GB2312" w:hAnsi="黑体" w:eastAsia="仿宋_GB2312" w:cstheme="minorBidi"/>
          <w:color w:val="auto"/>
          <w:kern w:val="0"/>
          <w:sz w:val="32"/>
          <w:szCs w:val="32"/>
          <w:lang w:val="en-US" w:eastAsia="zh-CN" w:bidi="ar-SA"/>
        </w:rPr>
        <w:t>噻虫嗪是一种全新结构的第二代烟碱类高效低毒杀虫 剂，对害虫具有胃毒、触杀及内吸活性，用于叶面喷雾及土壤灌根处理， 对刺吸式害虫如蚜虫、飞虱、叶蝉、粉虱等有良好的防效。噻虫嗪不仅但具有触杀、胃毒、内吸活性，而且具有更高的活性、更好的安全性、更广的杀虫谱及作用速度快、持效期长等特点，是取代那些对哺乳动物毒性高、有残留和环境问题的有机磷、氨基甲酸酯、有机氯类杀虫剂的较好品种。《食品安全国家标准 食品中农药最大残留限量》（GB 2763-2021）中规定，噻虫嗪在香蕉中的最大残留限量为 0.02 mg/kg。噻虫嗪一般不会导致急性中毒，但长期摄入该类农药超标食品，对人体健康有一定影响。</w:t>
      </w:r>
    </w:p>
    <w:p>
      <w:pPr>
        <w:pStyle w:val="2"/>
        <w:rPr>
          <w:rFonts w:hint="eastAsia"/>
          <w:lang w:val="en-US" w:eastAsia="zh-CN"/>
        </w:rPr>
      </w:pPr>
      <w:bookmarkStart w:id="0" w:name="_GoBack"/>
      <w:bookmarkEnd w:id="0"/>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C4E94E"/>
    <w:multiLevelType w:val="singleLevel"/>
    <w:tmpl w:val="B6C4E94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2MjRmZjNmMzUyNzZkYzc4MzZjMWZjNTc5ZDVjZTUifQ=="/>
  </w:docVars>
  <w:rsids>
    <w:rsidRoot w:val="00D31D50"/>
    <w:rsid w:val="00166F48"/>
    <w:rsid w:val="00323B43"/>
    <w:rsid w:val="003D37D8"/>
    <w:rsid w:val="003E0A43"/>
    <w:rsid w:val="00416C95"/>
    <w:rsid w:val="00426133"/>
    <w:rsid w:val="004358AB"/>
    <w:rsid w:val="004D0E3A"/>
    <w:rsid w:val="006522F6"/>
    <w:rsid w:val="006F49EC"/>
    <w:rsid w:val="008615FE"/>
    <w:rsid w:val="00862C1A"/>
    <w:rsid w:val="008B7726"/>
    <w:rsid w:val="00A75782"/>
    <w:rsid w:val="00D20539"/>
    <w:rsid w:val="00D31D50"/>
    <w:rsid w:val="0430655D"/>
    <w:rsid w:val="05530586"/>
    <w:rsid w:val="05713078"/>
    <w:rsid w:val="075A40E9"/>
    <w:rsid w:val="07896A55"/>
    <w:rsid w:val="08334544"/>
    <w:rsid w:val="085657B0"/>
    <w:rsid w:val="08AA55E7"/>
    <w:rsid w:val="08EB75E7"/>
    <w:rsid w:val="092C4457"/>
    <w:rsid w:val="093737CF"/>
    <w:rsid w:val="09506FB0"/>
    <w:rsid w:val="0A692B52"/>
    <w:rsid w:val="0A7D0AF2"/>
    <w:rsid w:val="0B3F181C"/>
    <w:rsid w:val="0D3D69F2"/>
    <w:rsid w:val="0E284D53"/>
    <w:rsid w:val="0EE46C0E"/>
    <w:rsid w:val="0F2000B6"/>
    <w:rsid w:val="0F884FC3"/>
    <w:rsid w:val="104D7157"/>
    <w:rsid w:val="107D6F30"/>
    <w:rsid w:val="12BD331F"/>
    <w:rsid w:val="136131AF"/>
    <w:rsid w:val="13651C18"/>
    <w:rsid w:val="13963C5C"/>
    <w:rsid w:val="158F12AA"/>
    <w:rsid w:val="15E74E37"/>
    <w:rsid w:val="16A62408"/>
    <w:rsid w:val="1A2E5E6C"/>
    <w:rsid w:val="1A3548A8"/>
    <w:rsid w:val="1AEB79CF"/>
    <w:rsid w:val="1B854391"/>
    <w:rsid w:val="1BFE76AF"/>
    <w:rsid w:val="1F2A4C31"/>
    <w:rsid w:val="1F7A2B29"/>
    <w:rsid w:val="20551FF4"/>
    <w:rsid w:val="20BB5C60"/>
    <w:rsid w:val="20D4707C"/>
    <w:rsid w:val="214F59B3"/>
    <w:rsid w:val="22890B9A"/>
    <w:rsid w:val="23E5766A"/>
    <w:rsid w:val="23E9602A"/>
    <w:rsid w:val="24AC0CBB"/>
    <w:rsid w:val="251B70E5"/>
    <w:rsid w:val="271908AC"/>
    <w:rsid w:val="281C463B"/>
    <w:rsid w:val="28FD29B7"/>
    <w:rsid w:val="29BC7AA4"/>
    <w:rsid w:val="2A7F4FF2"/>
    <w:rsid w:val="2A9856DE"/>
    <w:rsid w:val="2AC128BA"/>
    <w:rsid w:val="2BAE448D"/>
    <w:rsid w:val="2BBF9CB5"/>
    <w:rsid w:val="2CE530E8"/>
    <w:rsid w:val="2E593DA5"/>
    <w:rsid w:val="2F052F99"/>
    <w:rsid w:val="30384BE7"/>
    <w:rsid w:val="30C24FB8"/>
    <w:rsid w:val="312F38B7"/>
    <w:rsid w:val="32D81F70"/>
    <w:rsid w:val="3792240A"/>
    <w:rsid w:val="3A015B8B"/>
    <w:rsid w:val="3BCD4619"/>
    <w:rsid w:val="3C4E620D"/>
    <w:rsid w:val="3D646FDF"/>
    <w:rsid w:val="3E565578"/>
    <w:rsid w:val="3E776FC1"/>
    <w:rsid w:val="3F103227"/>
    <w:rsid w:val="3FB52FAF"/>
    <w:rsid w:val="3FF72265"/>
    <w:rsid w:val="40651E83"/>
    <w:rsid w:val="433504EC"/>
    <w:rsid w:val="43A008C5"/>
    <w:rsid w:val="43DF4DE0"/>
    <w:rsid w:val="44DF484F"/>
    <w:rsid w:val="46355A48"/>
    <w:rsid w:val="463C391A"/>
    <w:rsid w:val="46602D9A"/>
    <w:rsid w:val="478D29BB"/>
    <w:rsid w:val="497425A5"/>
    <w:rsid w:val="4AAF4178"/>
    <w:rsid w:val="4BC335D6"/>
    <w:rsid w:val="4CC90865"/>
    <w:rsid w:val="4D5808D2"/>
    <w:rsid w:val="4D685E2B"/>
    <w:rsid w:val="4E6A26B3"/>
    <w:rsid w:val="4EDB1813"/>
    <w:rsid w:val="51340CDB"/>
    <w:rsid w:val="51B50DCE"/>
    <w:rsid w:val="524238F3"/>
    <w:rsid w:val="526968EA"/>
    <w:rsid w:val="53FE2F2D"/>
    <w:rsid w:val="540D6E36"/>
    <w:rsid w:val="543833CF"/>
    <w:rsid w:val="5467649E"/>
    <w:rsid w:val="549E05E7"/>
    <w:rsid w:val="566921E7"/>
    <w:rsid w:val="58CB6124"/>
    <w:rsid w:val="59285116"/>
    <w:rsid w:val="59F8411F"/>
    <w:rsid w:val="5A240870"/>
    <w:rsid w:val="5A3A177E"/>
    <w:rsid w:val="5A920D5A"/>
    <w:rsid w:val="5ADA4E8C"/>
    <w:rsid w:val="5B041079"/>
    <w:rsid w:val="5E29417F"/>
    <w:rsid w:val="5F3B0E3D"/>
    <w:rsid w:val="5F566494"/>
    <w:rsid w:val="606002C6"/>
    <w:rsid w:val="64450558"/>
    <w:rsid w:val="64482F44"/>
    <w:rsid w:val="64894D31"/>
    <w:rsid w:val="64D97F30"/>
    <w:rsid w:val="662A19C6"/>
    <w:rsid w:val="66D60F02"/>
    <w:rsid w:val="66E65795"/>
    <w:rsid w:val="66F221AE"/>
    <w:rsid w:val="680B2ADB"/>
    <w:rsid w:val="6854285E"/>
    <w:rsid w:val="68C16365"/>
    <w:rsid w:val="6AA46ED1"/>
    <w:rsid w:val="6CAB6190"/>
    <w:rsid w:val="6D051719"/>
    <w:rsid w:val="6D720EA4"/>
    <w:rsid w:val="6E86187D"/>
    <w:rsid w:val="6F35576F"/>
    <w:rsid w:val="6F925083"/>
    <w:rsid w:val="7020157F"/>
    <w:rsid w:val="70E644F5"/>
    <w:rsid w:val="74CF3011"/>
    <w:rsid w:val="765663E9"/>
    <w:rsid w:val="769F28C5"/>
    <w:rsid w:val="773D2F39"/>
    <w:rsid w:val="78002030"/>
    <w:rsid w:val="79F32D39"/>
    <w:rsid w:val="7A0C2598"/>
    <w:rsid w:val="7A8E0371"/>
    <w:rsid w:val="7BC20667"/>
    <w:rsid w:val="7CC13057"/>
    <w:rsid w:val="7CF71382"/>
    <w:rsid w:val="7E7A1ECE"/>
    <w:rsid w:val="7FD5411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styleId="3">
    <w:name w:val="footer"/>
    <w:basedOn w:val="1"/>
    <w:link w:val="9"/>
    <w:semiHidden/>
    <w:unhideWhenUsed/>
    <w:qFormat/>
    <w:uiPriority w:val="99"/>
    <w:pPr>
      <w:tabs>
        <w:tab w:val="center" w:pos="4153"/>
        <w:tab w:val="right" w:pos="8306"/>
      </w:tabs>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8">
    <w:name w:val="页眉 Char"/>
    <w:basedOn w:val="7"/>
    <w:link w:val="4"/>
    <w:semiHidden/>
    <w:qFormat/>
    <w:uiPriority w:val="99"/>
    <w:rPr>
      <w:rFonts w:ascii="Tahoma" w:hAnsi="Tahoma"/>
      <w:sz w:val="18"/>
      <w:szCs w:val="18"/>
    </w:rPr>
  </w:style>
  <w:style w:type="character" w:customStyle="1" w:styleId="9">
    <w:name w:val="页脚 Char"/>
    <w:basedOn w:val="7"/>
    <w:link w:val="3"/>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683</Words>
  <Characters>729</Characters>
  <Lines>3</Lines>
  <Paragraphs>1</Paragraphs>
  <TotalTime>19</TotalTime>
  <ScaleCrop>false</ScaleCrop>
  <LinksUpToDate>false</LinksUpToDate>
  <CharactersWithSpaces>735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2008-09-12T09:20:00Z</dcterms:created>
  <dc:creator>Administrator</dc:creator>
  <cp:lastModifiedBy> 圆圈圈</cp:lastModifiedBy>
  <cp:lastPrinted>2017-06-22T19:23:00Z</cp:lastPrinted>
  <dcterms:modified xsi:type="dcterms:W3CDTF">2023-08-04T07:30:37Z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15B48F48424A446BBD5C6C6149004982</vt:lpwstr>
  </property>
</Properties>
</file>