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lang w:eastAsia="zh-CN"/>
        </w:rPr>
      </w:pPr>
      <w:bookmarkStart w:id="0" w:name="_GoBack"/>
      <w:r>
        <w:rPr>
          <w:rFonts w:hint="eastAsia" w:ascii="宋体" w:hAnsi="宋体" w:eastAsia="宋体" w:cs="宋体"/>
          <w:sz w:val="44"/>
          <w:szCs w:val="44"/>
          <w:lang w:eastAsia="zh-CN"/>
        </w:rPr>
        <w:t>决算报告名词解释</w:t>
      </w:r>
    </w:p>
    <w:bookmarkEnd w:id="0"/>
    <w:p>
      <w:pPr>
        <w:spacing w:line="560" w:lineRule="exact"/>
        <w:ind w:firstLine="643" w:firstLineChars="200"/>
        <w:rPr>
          <w:rFonts w:hint="eastAsia" w:ascii="仿宋_GB2312" w:hAnsi="仿宋_GB2312" w:eastAsia="仿宋_GB2312"/>
          <w:sz w:val="32"/>
          <w:szCs w:val="21"/>
        </w:rPr>
      </w:pPr>
      <w:r>
        <w:rPr>
          <w:rFonts w:hint="eastAsia" w:ascii="仿宋_GB2312" w:hAnsi="仿宋_GB2312" w:eastAsia="仿宋_GB2312"/>
          <w:b/>
          <w:sz w:val="32"/>
          <w:szCs w:val="21"/>
        </w:rPr>
        <w:t>1.一般公共预算。</w:t>
      </w:r>
      <w:r>
        <w:rPr>
          <w:rFonts w:hint="eastAsia" w:ascii="仿宋_GB2312" w:hAnsi="仿宋_GB2312" w:eastAsia="仿宋_GB2312"/>
          <w:sz w:val="32"/>
          <w:szCs w:val="21"/>
        </w:rPr>
        <w:t>一般公共预算是对以税收为主体的财政收入，安排用于保障和改善民生、推动经济社会发展、维护国家安全、维持国家机构正常运转等方面的收支预算。</w:t>
      </w:r>
    </w:p>
    <w:p>
      <w:pPr>
        <w:spacing w:line="560" w:lineRule="exact"/>
        <w:ind w:firstLine="643" w:firstLineChars="200"/>
        <w:rPr>
          <w:rFonts w:hint="eastAsia" w:ascii="仿宋_GB2312" w:hAnsi="仿宋_GB2312" w:eastAsia="仿宋_GB2312"/>
          <w:sz w:val="32"/>
          <w:szCs w:val="21"/>
        </w:rPr>
      </w:pPr>
      <w:r>
        <w:rPr>
          <w:rFonts w:hint="eastAsia" w:ascii="仿宋_GB2312" w:hAnsi="仿宋_GB2312" w:eastAsia="仿宋_GB2312"/>
          <w:b/>
          <w:sz w:val="32"/>
          <w:szCs w:val="21"/>
        </w:rPr>
        <w:t>2.政府性基金预算。</w:t>
      </w:r>
      <w:r>
        <w:rPr>
          <w:rFonts w:hint="eastAsia" w:ascii="仿宋_GB2312" w:hAnsi="仿宋_GB2312" w:eastAsia="仿宋_GB2312"/>
          <w:sz w:val="32"/>
          <w:szCs w:val="21"/>
        </w:rPr>
        <w:t>政府性基金预算是对依照法律、行政法规的规定在一定期限内向特定对象征收、收取或者以其他方式筹集的资金，专项用于特定公共事业发展的收支预算。政府性基金预算应当根据基金项目收入情况和实际支出需要，按基金项目编制，做到以收定支。</w:t>
      </w:r>
    </w:p>
    <w:p>
      <w:pPr>
        <w:spacing w:line="560" w:lineRule="exact"/>
        <w:ind w:firstLine="643" w:firstLineChars="200"/>
        <w:rPr>
          <w:rFonts w:hint="eastAsia" w:ascii="仿宋_GB2312" w:hAnsi="仿宋_GB2312" w:eastAsia="仿宋_GB2312"/>
          <w:sz w:val="32"/>
          <w:szCs w:val="21"/>
        </w:rPr>
      </w:pPr>
      <w:r>
        <w:rPr>
          <w:rFonts w:hint="eastAsia" w:ascii="仿宋_GB2312" w:hAnsi="仿宋_GB2312" w:eastAsia="仿宋_GB2312"/>
          <w:b/>
          <w:sz w:val="32"/>
          <w:szCs w:val="21"/>
        </w:rPr>
        <w:t>3.国有资本经营预算。</w:t>
      </w:r>
      <w:r>
        <w:rPr>
          <w:rFonts w:hint="eastAsia" w:ascii="仿宋_GB2312" w:hAnsi="仿宋_GB2312" w:eastAsia="仿宋_GB2312"/>
          <w:sz w:val="32"/>
          <w:szCs w:val="21"/>
        </w:rPr>
        <w:t>国有资本经营预算是对国有资本收益作出支出安排的收支预算。国有资本经营预算应当按照收支平衡的原则编制，不列赤字，并安排资金调入一般公共预算。</w:t>
      </w:r>
    </w:p>
    <w:p>
      <w:pPr>
        <w:spacing w:line="560" w:lineRule="exact"/>
        <w:ind w:firstLine="643" w:firstLineChars="200"/>
        <w:rPr>
          <w:rFonts w:hint="eastAsia" w:ascii="仿宋_GB2312" w:hAnsi="仿宋_GB2312" w:eastAsia="仿宋_GB2312"/>
          <w:sz w:val="32"/>
          <w:szCs w:val="21"/>
        </w:rPr>
      </w:pPr>
      <w:r>
        <w:rPr>
          <w:rFonts w:hint="eastAsia" w:ascii="仿宋_GB2312" w:hAnsi="仿宋_GB2312" w:eastAsia="仿宋_GB2312"/>
          <w:b/>
          <w:bCs/>
          <w:color w:val="000000"/>
          <w:kern w:val="0"/>
          <w:sz w:val="32"/>
          <w:szCs w:val="32"/>
        </w:rPr>
        <w:t>4.社</w:t>
      </w:r>
      <w:r>
        <w:rPr>
          <w:rFonts w:eastAsia="仿宋_GB2312"/>
          <w:b/>
          <w:bCs/>
          <w:color w:val="000000"/>
          <w:kern w:val="0"/>
          <w:sz w:val="32"/>
          <w:szCs w:val="32"/>
        </w:rPr>
        <w:t>会保险基金预算</w:t>
      </w:r>
      <w:r>
        <w:rPr>
          <w:rFonts w:hint="eastAsia" w:eastAsia="仿宋_GB2312"/>
          <w:b/>
          <w:bCs/>
          <w:color w:val="000000"/>
          <w:kern w:val="0"/>
          <w:sz w:val="32"/>
          <w:szCs w:val="32"/>
        </w:rPr>
        <w:t>。</w:t>
      </w:r>
      <w:r>
        <w:rPr>
          <w:rFonts w:eastAsia="仿宋_GB2312"/>
          <w:color w:val="000000"/>
          <w:kern w:val="0"/>
          <w:sz w:val="32"/>
          <w:szCs w:val="32"/>
        </w:rPr>
        <w:t>社会保险基金预算</w:t>
      </w:r>
      <w:r>
        <w:rPr>
          <w:rFonts w:hint="eastAsia" w:eastAsia="仿宋_GB2312"/>
          <w:color w:val="000000"/>
          <w:kern w:val="0"/>
          <w:sz w:val="32"/>
          <w:szCs w:val="32"/>
        </w:rPr>
        <w:t>是</w:t>
      </w:r>
      <w:r>
        <w:rPr>
          <w:rFonts w:eastAsia="仿宋_GB2312"/>
          <w:color w:val="000000"/>
          <w:kern w:val="0"/>
          <w:sz w:val="32"/>
          <w:szCs w:val="32"/>
        </w:rPr>
        <w:t>指社会保险缴款、一般公共预算安排和其他方式筹集的资金，专项用于社会保险的收支预算。</w:t>
      </w:r>
    </w:p>
    <w:p>
      <w:pPr>
        <w:spacing w:line="560" w:lineRule="exact"/>
        <w:ind w:firstLine="643" w:firstLineChars="200"/>
        <w:rPr>
          <w:rFonts w:eastAsia="仿宋_GB2312"/>
          <w:color w:val="000000"/>
          <w:spacing w:val="4"/>
          <w:kern w:val="0"/>
          <w:sz w:val="32"/>
          <w:szCs w:val="32"/>
        </w:rPr>
      </w:pPr>
      <w:r>
        <w:rPr>
          <w:rFonts w:hint="eastAsia" w:ascii="仿宋_GB2312" w:hAnsi="仿宋_GB2312" w:eastAsia="仿宋_GB2312"/>
          <w:b/>
          <w:sz w:val="32"/>
          <w:szCs w:val="21"/>
        </w:rPr>
        <w:t>5.转移支付。</w:t>
      </w:r>
      <w:r>
        <w:rPr>
          <w:rFonts w:eastAsia="仿宋_GB2312"/>
          <w:color w:val="000000"/>
          <w:kern w:val="0"/>
          <w:sz w:val="32"/>
          <w:szCs w:val="32"/>
        </w:rPr>
        <w:t>指上级政府按照有关法律法规、财政体制和政策规定，给予下级政府的补助资金，包括一般性转移支付和专项转移支付。其中</w:t>
      </w:r>
      <w:r>
        <w:rPr>
          <w:rFonts w:hint="eastAsia" w:eastAsia="仿宋_GB2312"/>
          <w:color w:val="000000"/>
          <w:kern w:val="0"/>
          <w:sz w:val="32"/>
          <w:szCs w:val="32"/>
        </w:rPr>
        <w:t>，</w:t>
      </w:r>
      <w:r>
        <w:rPr>
          <w:rFonts w:eastAsia="仿宋_GB2312"/>
          <w:color w:val="000000"/>
          <w:kern w:val="0"/>
          <w:sz w:val="32"/>
          <w:szCs w:val="32"/>
        </w:rPr>
        <w:t>一般性转移支付指上级政府对有财力缺口的下级政府，按照规范的办法给予的补助，下级政府可以按照相关规定统筹安排和使用。专项转移支付指上级政府对承担委托事务、共同事务的下级政府，给予的具有指定用途的资金补助，以</w:t>
      </w:r>
      <w:r>
        <w:rPr>
          <w:rFonts w:eastAsia="仿宋_GB2312"/>
          <w:color w:val="000000"/>
          <w:spacing w:val="4"/>
          <w:kern w:val="0"/>
          <w:sz w:val="32"/>
          <w:szCs w:val="32"/>
        </w:rPr>
        <w:t>及对应由下级政府承担的事务，给予的具有指定用途的奖励或补助。</w:t>
      </w:r>
    </w:p>
    <w:p>
      <w:pPr>
        <w:spacing w:line="560" w:lineRule="exact"/>
        <w:ind w:firstLine="643" w:firstLineChars="200"/>
        <w:rPr>
          <w:rFonts w:hint="eastAsia" w:ascii="仿宋_GB2312" w:hAnsi="仿宋_GB2312" w:eastAsia="仿宋_GB2312"/>
          <w:sz w:val="32"/>
          <w:szCs w:val="21"/>
        </w:rPr>
      </w:pPr>
      <w:r>
        <w:rPr>
          <w:rFonts w:hint="eastAsia" w:ascii="仿宋_GB2312" w:hAnsi="仿宋_GB2312" w:eastAsia="仿宋_GB2312"/>
          <w:b/>
          <w:sz w:val="32"/>
          <w:szCs w:val="21"/>
        </w:rPr>
        <w:t>6.预算稳定调节基金。</w:t>
      </w:r>
      <w:r>
        <w:rPr>
          <w:rFonts w:hint="eastAsia" w:ascii="仿宋_GB2312" w:hAnsi="仿宋_GB2312" w:eastAsia="仿宋_GB2312"/>
          <w:sz w:val="32"/>
          <w:szCs w:val="21"/>
        </w:rPr>
        <w:t>指财政通过超收收入和支出预算结余安排的具有储备性质的基金，视预算平衡情况，在安排下年度预算时调入并安排使用，或用于弥补短收年份预算执行的收支缺口，基金的安排使用接受同级人大及其常委会的监督。</w:t>
      </w:r>
    </w:p>
    <w:p>
      <w:pPr>
        <w:spacing w:line="560" w:lineRule="exact"/>
        <w:ind w:firstLine="643" w:firstLineChars="200"/>
        <w:rPr>
          <w:rFonts w:eastAsia="仿宋_GB2312"/>
          <w:color w:val="000000"/>
          <w:kern w:val="0"/>
          <w:sz w:val="32"/>
          <w:szCs w:val="32"/>
        </w:rPr>
      </w:pPr>
      <w:r>
        <w:rPr>
          <w:rFonts w:hint="eastAsia" w:ascii="仿宋_GB2312" w:hAnsi="仿宋_GB2312" w:eastAsia="仿宋_GB2312"/>
          <w:b/>
          <w:bCs/>
          <w:color w:val="000000"/>
          <w:kern w:val="0"/>
          <w:sz w:val="32"/>
          <w:szCs w:val="32"/>
          <w:lang w:val="en-US" w:eastAsia="zh-CN"/>
        </w:rPr>
        <w:t>7</w:t>
      </w:r>
      <w:r>
        <w:rPr>
          <w:rFonts w:hint="eastAsia" w:ascii="仿宋_GB2312" w:hAnsi="仿宋_GB2312" w:eastAsia="仿宋_GB2312"/>
          <w:b/>
          <w:bCs/>
          <w:color w:val="000000"/>
          <w:kern w:val="0"/>
          <w:sz w:val="32"/>
          <w:szCs w:val="32"/>
        </w:rPr>
        <w:t>.“三公”经费。</w:t>
      </w:r>
      <w:r>
        <w:rPr>
          <w:rFonts w:eastAsia="仿宋_GB2312"/>
          <w:color w:val="000000"/>
          <w:kern w:val="0"/>
          <w:sz w:val="32"/>
          <w:szCs w:val="32"/>
        </w:rPr>
        <w:t>指因公出国（境）费、公务用车购置及运行维护费和公务接待费。</w:t>
      </w:r>
    </w:p>
    <w:p>
      <w:pPr>
        <w:spacing w:line="560" w:lineRule="exact"/>
        <w:ind w:firstLine="643" w:firstLineChars="200"/>
        <w:rPr>
          <w:rFonts w:hint="eastAsia" w:eastAsia="仿宋_GB2312"/>
          <w:color w:val="000000"/>
          <w:kern w:val="0"/>
          <w:sz w:val="32"/>
          <w:szCs w:val="32"/>
        </w:rPr>
      </w:pPr>
      <w:r>
        <w:rPr>
          <w:rFonts w:hint="eastAsia" w:ascii="仿宋_GB2312" w:hAnsi="仿宋_GB2312" w:eastAsia="仿宋_GB2312"/>
          <w:b/>
          <w:bCs/>
          <w:color w:val="000000"/>
          <w:kern w:val="0"/>
          <w:sz w:val="32"/>
          <w:szCs w:val="32"/>
          <w:lang w:val="en-US" w:eastAsia="zh-CN"/>
        </w:rPr>
        <w:t>8</w:t>
      </w:r>
      <w:r>
        <w:rPr>
          <w:rFonts w:hint="eastAsia" w:ascii="仿宋_GB2312" w:hAnsi="仿宋_GB2312" w:eastAsia="仿宋_GB2312"/>
          <w:b/>
          <w:bCs/>
          <w:color w:val="000000"/>
          <w:kern w:val="0"/>
          <w:sz w:val="32"/>
          <w:szCs w:val="32"/>
        </w:rPr>
        <w:t>.政府一般债券。</w:t>
      </w:r>
      <w:r>
        <w:rPr>
          <w:rFonts w:hint="eastAsia" w:eastAsia="仿宋_GB2312"/>
          <w:color w:val="000000"/>
          <w:kern w:val="0"/>
          <w:sz w:val="32"/>
          <w:szCs w:val="32"/>
        </w:rPr>
        <w:t>指省、自治区、直辖市政府（含经省政府批准的自办债券发行的计划单列市政府）为没有收益的公益性项目发行的、约定一定期限内主要以一般公共预算收入还本付息的政府债券。</w:t>
      </w:r>
    </w:p>
    <w:p>
      <w:pPr>
        <w:spacing w:line="560" w:lineRule="exact"/>
        <w:ind w:firstLine="643" w:firstLineChars="200"/>
        <w:rPr>
          <w:rFonts w:hint="eastAsia" w:eastAsia="仿宋_GB2312"/>
          <w:color w:val="000000"/>
          <w:kern w:val="0"/>
          <w:sz w:val="32"/>
          <w:szCs w:val="32"/>
        </w:rPr>
      </w:pPr>
      <w:r>
        <w:rPr>
          <w:rFonts w:hint="eastAsia" w:ascii="仿宋_GB2312" w:hAnsi="仿宋_GB2312" w:eastAsia="仿宋_GB2312"/>
          <w:b/>
          <w:bCs/>
          <w:color w:val="000000"/>
          <w:kern w:val="0"/>
          <w:sz w:val="32"/>
          <w:szCs w:val="32"/>
          <w:lang w:val="en-US" w:eastAsia="zh-CN"/>
        </w:rPr>
        <w:t>9</w:t>
      </w:r>
      <w:r>
        <w:rPr>
          <w:rFonts w:hint="eastAsia" w:ascii="仿宋_GB2312" w:hAnsi="仿宋_GB2312" w:eastAsia="仿宋_GB2312"/>
          <w:b/>
          <w:bCs/>
          <w:color w:val="000000"/>
          <w:kern w:val="0"/>
          <w:sz w:val="32"/>
          <w:szCs w:val="32"/>
        </w:rPr>
        <w:t>.政府专项债券。</w:t>
      </w:r>
      <w:r>
        <w:rPr>
          <w:rFonts w:hint="eastAsia" w:eastAsia="仿宋_GB2312"/>
          <w:color w:val="000000"/>
          <w:kern w:val="0"/>
          <w:sz w:val="32"/>
          <w:szCs w:val="32"/>
        </w:rPr>
        <w:t>指省、自治区、直辖市政府（含经省政府批准的自办债券发行的计划单列市政府）为有一定收益的公益性项目发行的、约定一定期限内以公益性项目对应的政府性基金或专项收入还本付息的政府债券。</w:t>
      </w:r>
    </w:p>
    <w:p>
      <w:pPr>
        <w:ind w:firstLine="640" w:firstLineChars="200"/>
        <w:rPr>
          <w:rFonts w:hint="eastAsia"/>
          <w:sz w:val="32"/>
          <w:szCs w:val="32"/>
          <w:lang w:eastAsia="zh-CN"/>
        </w:rPr>
      </w:pPr>
      <w:r>
        <w:rPr>
          <w:rFonts w:hint="eastAsia" w:eastAsia="仿宋_GB2312"/>
          <w:color w:val="000000"/>
          <w:kern w:val="0"/>
          <w:sz w:val="32"/>
          <w:szCs w:val="32"/>
          <w:lang w:val="en-US" w:eastAsia="zh-CN"/>
        </w:rPr>
        <w:t>10.</w:t>
      </w:r>
      <w:r>
        <w:rPr>
          <w:rFonts w:hint="eastAsia" w:ascii="仿宋_GB2312" w:hAnsi="仿宋_GB2312" w:eastAsia="仿宋_GB2312"/>
          <w:b/>
          <w:bCs/>
          <w:color w:val="000000"/>
          <w:kern w:val="0"/>
          <w:sz w:val="32"/>
          <w:szCs w:val="32"/>
        </w:rPr>
        <w:t>抗疫特别国债</w:t>
      </w:r>
      <w:r>
        <w:rPr>
          <w:rFonts w:hint="eastAsia" w:ascii="仿宋_GB2312" w:hAnsi="仿宋_GB2312" w:eastAsia="仿宋_GB2312"/>
          <w:b/>
          <w:bCs/>
          <w:color w:val="000000"/>
          <w:kern w:val="0"/>
          <w:sz w:val="32"/>
          <w:szCs w:val="32"/>
          <w:lang w:eastAsia="zh-CN"/>
        </w:rPr>
        <w:t>。</w:t>
      </w:r>
      <w:r>
        <w:rPr>
          <w:rFonts w:hint="eastAsia" w:eastAsia="仿宋_GB2312"/>
          <w:color w:val="000000"/>
          <w:kern w:val="0"/>
          <w:sz w:val="32"/>
          <w:szCs w:val="32"/>
          <w:lang w:val="en-US" w:eastAsia="zh-CN"/>
        </w:rPr>
        <w:t>指</w:t>
      </w:r>
      <w:r>
        <w:rPr>
          <w:rFonts w:hint="eastAsia" w:eastAsia="仿宋_GB2312"/>
          <w:color w:val="000000"/>
          <w:kern w:val="0"/>
          <w:sz w:val="32"/>
          <w:szCs w:val="32"/>
        </w:rPr>
        <w:t>为应对新冠肺炎疫情影响，由中央财政统一发行的特殊国债。不计入财政赤字，纳入国债余额 限额，全部转给地方主要用于公共卫生等基础设施建设和抗疫相关支出</w:t>
      </w:r>
      <w:r>
        <w:rPr>
          <w:rFonts w:ascii="微软雅黑" w:hAnsi="微软雅黑" w:eastAsia="微软雅黑" w:cs="微软雅黑"/>
          <w:i w:val="0"/>
          <w:iCs w:val="0"/>
          <w:caps w:val="0"/>
          <w:color w:val="111111"/>
          <w:spacing w:val="0"/>
          <w:sz w:val="21"/>
          <w:szCs w:val="21"/>
          <w:shd w:val="clear" w:color="auto" w:fill="FFFFFF"/>
        </w:rPr>
        <w:t>。</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CB1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郭荣莉</dc:creator>
  <cp:lastModifiedBy>QQ</cp:lastModifiedBy>
  <dcterms:modified xsi:type="dcterms:W3CDTF">2021-10-29T09:54:59Z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DCC94D41FC204999894948D41ABD9199</vt:lpwstr>
  </property>
</Properties>
</file>