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A2A" w:rsidRDefault="00420A2A" w:rsidP="00420A2A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</w:p>
    <w:p w:rsidR="00420A2A" w:rsidRDefault="00420A2A" w:rsidP="00420A2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2023年部分第三批省级农业生产发展项目</w:t>
      </w:r>
    </w:p>
    <w:p w:rsidR="00420A2A" w:rsidRDefault="00420A2A" w:rsidP="00420A2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申报指南</w:t>
      </w:r>
    </w:p>
    <w:p w:rsidR="00420A2A" w:rsidRDefault="00420A2A" w:rsidP="00420A2A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420A2A" w:rsidRDefault="00420A2A" w:rsidP="00420A2A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楷体_GB2312" w:hint="eastAsia"/>
          <w:sz w:val="32"/>
          <w:szCs w:val="32"/>
        </w:rPr>
        <w:t>建设内容</w:t>
      </w:r>
    </w:p>
    <w:p w:rsidR="00420A2A" w:rsidRDefault="00420A2A" w:rsidP="00420A2A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肉羊全产业链建设。发展一批标准化规模场，开展肉羊产业高质量发展关键技术研发推广。</w:t>
      </w:r>
    </w:p>
    <w:p w:rsidR="00420A2A" w:rsidRDefault="00420A2A" w:rsidP="00420A2A">
      <w:pPr>
        <w:spacing w:line="560" w:lineRule="exact"/>
        <w:ind w:firstLineChars="200" w:firstLine="640"/>
        <w:rPr>
          <w:rFonts w:ascii="黑体" w:eastAsia="黑体" w:hAnsi="黑体" w:cs="楷体_GB2312"/>
          <w:sz w:val="32"/>
          <w:szCs w:val="32"/>
        </w:rPr>
      </w:pPr>
      <w:r>
        <w:rPr>
          <w:rFonts w:ascii="黑体" w:eastAsia="黑体" w:hAnsi="黑体" w:cs="楷体_GB2312" w:hint="eastAsia"/>
          <w:sz w:val="32"/>
          <w:szCs w:val="32"/>
        </w:rPr>
        <w:t>二、补助对象、标准与环节</w:t>
      </w:r>
    </w:p>
    <w:p w:rsidR="00420A2A" w:rsidRDefault="00420A2A" w:rsidP="00420A2A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肉羊全产业链建设。</w:t>
      </w:r>
    </w:p>
    <w:p w:rsidR="00420A2A" w:rsidRDefault="00420A2A" w:rsidP="00420A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补助对象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设计存栏</w:t>
      </w:r>
      <w:r>
        <w:rPr>
          <w:rFonts w:ascii="Times New Roman" w:eastAsia="仿宋_GB2312" w:hAnsi="Times New Roman" w:cs="Times New Roman"/>
          <w:sz w:val="32"/>
          <w:szCs w:val="32"/>
        </w:rPr>
        <w:t>100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只以上且在农业农村部直联直报系统进行备案的规模养殖场，具备稳定良好联农带农机制的肉羊龙头企业。</w:t>
      </w:r>
    </w:p>
    <w:p w:rsidR="00420A2A" w:rsidRDefault="00420A2A" w:rsidP="00420A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补助标准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扶持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4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个以上规模场，每个规模养殖场补助不超过</w:t>
      </w:r>
      <w:r>
        <w:rPr>
          <w:rFonts w:ascii="Times New Roman" w:eastAsia="仿宋_GB2312" w:hAnsi="Times New Roman" w:cs="Times New Roman"/>
          <w:sz w:val="32"/>
          <w:szCs w:val="32"/>
        </w:rPr>
        <w:t>50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万元，具备稳定良好联农带农机制的肉羊龙头企业补助</w:t>
      </w:r>
      <w:r>
        <w:rPr>
          <w:rFonts w:ascii="Times New Roman" w:eastAsia="仿宋_GB2312" w:hAnsi="Times New Roman" w:cs="Times New Roman"/>
          <w:sz w:val="32"/>
          <w:szCs w:val="32"/>
        </w:rPr>
        <w:t>100-500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万元。</w:t>
      </w:r>
    </w:p>
    <w:p w:rsidR="00420A2A" w:rsidRDefault="00420A2A" w:rsidP="00420A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支持环节</w:t>
      </w:r>
      <w:r>
        <w:rPr>
          <w:rFonts w:ascii="Times New Roman" w:eastAsia="仿宋_GB2312" w:hAnsi="Times New Roman" w:cs="Times New Roman"/>
          <w:sz w:val="32"/>
          <w:szCs w:val="32"/>
        </w:rPr>
        <w:t>: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主要用于肉羊扩群增量，支持新建、扩建和改造提升养殖圈舍，产业化开发，改进粪污利用、节水养殖设施设备，新技术试验示范推广等。</w:t>
      </w:r>
    </w:p>
    <w:p w:rsidR="00420A2A" w:rsidRDefault="00420A2A" w:rsidP="00420A2A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20A2A" w:rsidRDefault="00420A2A" w:rsidP="00420A2A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20A2A" w:rsidRDefault="00420A2A" w:rsidP="00420A2A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3572D4" w:rsidRDefault="003572D4">
      <w:bookmarkStart w:id="0" w:name="_GoBack"/>
      <w:bookmarkEnd w:id="0"/>
    </w:p>
    <w:sectPr w:rsidR="003572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2D4"/>
    <w:rsid w:val="003572D4"/>
    <w:rsid w:val="0042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BC6C44-4F83-4D5E-89D8-32001CE06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0A2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737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2024-02-22T01:16:00Z</dcterms:created>
  <dcterms:modified xsi:type="dcterms:W3CDTF">2024-02-22T01:20:00Z</dcterms:modified>
</cp:coreProperties>
</file>