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rPr>
          <w:rFonts w:ascii="黑体" w:hAnsi="黑体" w:eastAsia="黑体" w:cs="黑体"/>
          <w:sz w:val="32"/>
          <w:szCs w:val="32"/>
        </w:rPr>
      </w:pPr>
      <w:r>
        <w:rPr>
          <w:rFonts w:hint="eastAsia" w:ascii="黑体" w:hAnsi="黑体" w:eastAsia="黑体" w:cs="黑体"/>
          <w:sz w:val="32"/>
          <w:szCs w:val="32"/>
        </w:rPr>
        <w:t>附件</w:t>
      </w:r>
    </w:p>
    <w:tbl>
      <w:tblPr>
        <w:tblStyle w:val="9"/>
        <w:tblW w:w="14578" w:type="dxa"/>
        <w:jc w:val="center"/>
        <w:tblLayout w:type="autofit"/>
        <w:tblCellMar>
          <w:top w:w="0" w:type="dxa"/>
          <w:left w:w="108" w:type="dxa"/>
          <w:bottom w:w="0" w:type="dxa"/>
          <w:right w:w="108" w:type="dxa"/>
        </w:tblCellMar>
      </w:tblPr>
      <w:tblGrid>
        <w:gridCol w:w="795"/>
        <w:gridCol w:w="1950"/>
        <w:gridCol w:w="3345"/>
        <w:gridCol w:w="2265"/>
        <w:gridCol w:w="6223"/>
      </w:tblGrid>
      <w:tr>
        <w:tblPrEx>
          <w:tblCellMar>
            <w:top w:w="0" w:type="dxa"/>
            <w:left w:w="108" w:type="dxa"/>
            <w:bottom w:w="0" w:type="dxa"/>
            <w:right w:w="108" w:type="dxa"/>
          </w:tblCellMar>
        </w:tblPrEx>
        <w:trPr>
          <w:cantSplit/>
          <w:trHeight w:val="860" w:hRule="atLeast"/>
          <w:jc w:val="center"/>
        </w:trPr>
        <w:tc>
          <w:tcPr>
            <w:tcW w:w="14578" w:type="dxa"/>
            <w:gridSpan w:val="5"/>
            <w:tcBorders>
              <w:top w:val="nil"/>
              <w:left w:val="nil"/>
              <w:bottom w:val="nil"/>
              <w:right w:val="nil"/>
            </w:tcBorders>
            <w:shd w:val="clear" w:color="auto" w:fill="auto"/>
            <w:vAlign w:val="center"/>
          </w:tcPr>
          <w:p>
            <w:pPr>
              <w:widowControl/>
              <w:spacing w:line="560" w:lineRule="exact"/>
              <w:jc w:val="center"/>
              <w:textAlignment w:val="center"/>
              <w:rPr>
                <w:rFonts w:ascii="方正书宋简体" w:hAnsi="方正书宋简体" w:eastAsia="方正书宋简体" w:cs="方正书宋简体"/>
                <w:color w:val="000000"/>
              </w:rPr>
            </w:pPr>
            <w:r>
              <w:rPr>
                <w:rFonts w:hint="eastAsia" w:ascii="方正小标宋简体" w:hAnsi="方正小标宋简体" w:eastAsia="方正小标宋简体" w:cs="方正小标宋简体"/>
                <w:color w:val="000000"/>
                <w:kern w:val="0"/>
                <w:sz w:val="36"/>
                <w:szCs w:val="36"/>
              </w:rPr>
              <w:t>西安市临潼区行政许可事项清单（2023版）</w:t>
            </w:r>
            <w:bookmarkStart w:id="0" w:name="_GoBack"/>
            <w:bookmarkEnd w:id="0"/>
          </w:p>
        </w:tc>
      </w:tr>
      <w:tr>
        <w:tblPrEx>
          <w:tblCellMar>
            <w:top w:w="0" w:type="dxa"/>
            <w:left w:w="108" w:type="dxa"/>
            <w:bottom w:w="0" w:type="dxa"/>
            <w:right w:w="108" w:type="dxa"/>
          </w:tblCellMar>
        </w:tblPrEx>
        <w:trPr>
          <w:cantSplit/>
          <w:trHeight w:val="540" w:hRule="atLeast"/>
          <w:jc w:val="center"/>
        </w:trPr>
        <w:tc>
          <w:tcPr>
            <w:tcW w:w="14578" w:type="dxa"/>
            <w:gridSpan w:val="5"/>
            <w:tcBorders>
              <w:top w:val="nil"/>
              <w:left w:val="nil"/>
              <w:bottom w:val="nil"/>
              <w:right w:val="nil"/>
            </w:tcBorders>
            <w:shd w:val="clear" w:color="auto" w:fill="auto"/>
          </w:tcPr>
          <w:p>
            <w:pPr>
              <w:widowControl/>
              <w:spacing w:line="560" w:lineRule="exact"/>
              <w:jc w:val="center"/>
              <w:textAlignment w:val="top"/>
              <w:rPr>
                <w:rFonts w:ascii="方正书宋简体" w:hAnsi="方正书宋简体" w:eastAsia="方正书宋简体" w:cs="方正书宋简体"/>
                <w:color w:val="000000"/>
              </w:rPr>
            </w:pPr>
            <w:r>
              <w:rPr>
                <w:rFonts w:hint="eastAsia" w:ascii="楷体_GB2312" w:hAnsi="楷体_GB2312" w:eastAsia="楷体_GB2312" w:cs="楷体_GB2312"/>
                <w:color w:val="000000"/>
                <w:kern w:val="0"/>
                <w:sz w:val="22"/>
                <w:szCs w:val="22"/>
              </w:rPr>
              <w:t>（共258项，其中承接中央、省级、市级层面设定事项198项，垂直管理机构实施事项60项）</w:t>
            </w:r>
          </w:p>
        </w:tc>
      </w:tr>
      <w:tr>
        <w:tblPrEx>
          <w:tblCellMar>
            <w:top w:w="0" w:type="dxa"/>
            <w:left w:w="108" w:type="dxa"/>
            <w:bottom w:w="0" w:type="dxa"/>
            <w:right w:w="108" w:type="dxa"/>
          </w:tblCellMar>
        </w:tblPrEx>
        <w:trPr>
          <w:cantSplit/>
          <w:trHeight w:val="520" w:hRule="atLeast"/>
          <w:jc w:val="center"/>
        </w:trPr>
        <w:tc>
          <w:tcPr>
            <w:tcW w:w="145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黑体" w:hAnsi="黑体" w:eastAsia="黑体" w:cs="黑体"/>
                <w:color w:val="000000"/>
                <w:kern w:val="0"/>
              </w:rPr>
              <w:t>（一）承接中央、省级、市级层面设定事项</w:t>
            </w:r>
          </w:p>
        </w:tc>
      </w:tr>
      <w:tr>
        <w:tblPrEx>
          <w:tblCellMar>
            <w:top w:w="0" w:type="dxa"/>
            <w:left w:w="108" w:type="dxa"/>
            <w:bottom w:w="0" w:type="dxa"/>
            <w:right w:w="108" w:type="dxa"/>
          </w:tblCellMar>
        </w:tblPrEx>
        <w:trPr>
          <w:cantSplit/>
          <w:trHeight w:val="52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rPr>
            </w:pPr>
            <w:r>
              <w:rPr>
                <w:rFonts w:hint="eastAsia" w:ascii="黑体" w:hAnsi="黑体" w:eastAsia="黑体" w:cs="黑体"/>
                <w:color w:val="000000"/>
                <w:kern w:val="0"/>
              </w:rPr>
              <w:t>序号</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rPr>
            </w:pPr>
            <w:r>
              <w:rPr>
                <w:rFonts w:hint="eastAsia" w:ascii="黑体" w:hAnsi="黑体" w:eastAsia="黑体" w:cs="黑体"/>
                <w:color w:val="000000"/>
                <w:kern w:val="0"/>
              </w:rPr>
              <w:t>区级主管部门</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rPr>
            </w:pPr>
            <w:r>
              <w:rPr>
                <w:rFonts w:hint="eastAsia" w:ascii="黑体" w:hAnsi="黑体" w:eastAsia="黑体" w:cs="黑体"/>
                <w:color w:val="000000"/>
                <w:kern w:val="0"/>
              </w:rPr>
              <w:t>事项名称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rPr>
            </w:pPr>
            <w:r>
              <w:rPr>
                <w:rFonts w:hint="eastAsia" w:ascii="黑体" w:hAnsi="黑体" w:eastAsia="黑体" w:cs="黑体"/>
                <w:color w:val="000000"/>
                <w:kern w:val="0"/>
              </w:rPr>
              <w:t>区级实施机关</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rPr>
            </w:pPr>
            <w:r>
              <w:rPr>
                <w:rFonts w:hint="eastAsia" w:ascii="黑体" w:hAnsi="黑体" w:eastAsia="黑体" w:cs="黑体"/>
                <w:color w:val="000000"/>
                <w:kern w:val="0"/>
              </w:rPr>
              <w:t>区级设定和实施依据</w:t>
            </w:r>
          </w:p>
        </w:tc>
      </w:tr>
      <w:tr>
        <w:tblPrEx>
          <w:tblCellMar>
            <w:top w:w="0" w:type="dxa"/>
            <w:left w:w="108" w:type="dxa"/>
            <w:bottom w:w="0" w:type="dxa"/>
            <w:right w:w="108" w:type="dxa"/>
          </w:tblCellMar>
        </w:tblPrEx>
        <w:trPr>
          <w:cantSplit/>
          <w:trHeight w:val="86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区委办公室</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（区档案局）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延期移交档案审批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区委办公室</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（区档案局）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《中华人民共和国档案法实施办法》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区委宣传部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（新闻出版局）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电影放映单位设立审批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《中华人民共和国电影产业促进法》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《电影管理条例》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《外商投资电影院暂行规定》</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区委宣传部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（新闻出版局）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出版物零售业务经营许可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《出版管理条例》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区委宣传部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（新闻出版局）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印刷企业设立、变更、兼并、合并、分立审批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《印刷业管理条例》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《出版管理条例》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（市政府令第150号）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宗教活动场所筹备设立审批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《宗教事务条例》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宗教活动场所设立、变更、</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注销登记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《宗教事务条例》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宗教活动场所内改建或者新建建筑物许可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区委统战部（区民宗局）（部分审批，部分初审）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《宗教事务条例》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《宗教事务部分行政许可项目实施办法》（国宗发〔2018〕11号）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宗教临时活动地点审批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《宗教事务条例》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宗教团体、宗教院校、宗教活动场所接受境外捐赠审批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区委统战部</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（区民宗局）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《宗教事务条例》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《宗教事务部分行政许可项目实施办法》（国宗发〔2018〕11号）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区委编办</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事业单位登记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区委编办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《事业单位登记管理暂行条例》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《事业单位登记管理暂行条例实施细则》</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（中央编办发〔2014〕4号）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固定资产投资项目核准（含国发〔2016〕72号文件规定的外商投资项目）</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区政府</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（由区行政审批局</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《企业投资项目核准和备案管理条例》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《国务院关于发布政府核准的投资项目目录（2016年本）的通知》（国发〔2016〕72号）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固定资产投资项目节能审查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《中华人民共和国节约能源法》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《固定资产投资项目节能审查办法》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《陕西省固定资产投资项目节能审查实施办法》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（陕发改环资〔2023〕1273号）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在电力设施周围或者电力设施保护区内进行可能危及电力设施</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安全作业审批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《中华人民共和国电力法》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《电力设施保护条例》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（市政府令第150号）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新建不能满足管道保护要求的石油天然气管道防护方案审批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区发改委（受市发改委委托实施）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《中华人民共和国石油天然气管道保护法》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（市政府令第150号）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可能影响石油天然气管道保护的施工作业审批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《中华人民共和国石油天然气管道保护法》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1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应建防空地下室的民用建筑项目报建审批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《中共中央 国务院 中央军委关于加强人民防空工作的决定》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区发改委</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拆除人民防空工程审批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《中华人民共和国人民防空法》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民办、中外合作开办中等及以下学校和其他教育机构筹设审批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《中华人民共和国民办教育促进法》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《中华人民共和国中外合作办学条例》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《国务院关于当前发展学前教育的若干意见》</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（国发〔2010〕41号）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313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中等及以下学校和其他教育机构设置审批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《中华人民共和国教育法》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《中华人民共和国民办教育促进法》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《中华人民共和国民办教育促进法实施条例》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《中华人民共和国中外合作办学条例》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《国务院关于当前发展学前教育的若干意见》</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（国发〔2010〕41号）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《国务院办公厅关于规范校外培训机构发展的意见》</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（国办发〔2018〕80号）</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《陕西省民办教育促进条例》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81"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从事文艺、体育等专业训练的社会组织自行实施义务教育审批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《中华人民共和国义务教育法》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校车使用许可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区政府（由区行政审批局会同区教育局、公安分局、区交通运输局</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《校车安全管理条例》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《西安市校车安全管理办法》（西安市人民政府令第104号）</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《西安市临潼区全面落实相对集中行政许可权改革实施方案》（临办字〔2020〕54号）</w:t>
            </w:r>
          </w:p>
        </w:tc>
      </w:tr>
      <w:tr>
        <w:tblPrEx>
          <w:tblCellMar>
            <w:top w:w="0" w:type="dxa"/>
            <w:left w:w="108" w:type="dxa"/>
            <w:bottom w:w="0" w:type="dxa"/>
            <w:right w:w="108" w:type="dxa"/>
          </w:tblCellMar>
        </w:tblPrEx>
        <w:trPr>
          <w:cantSplit/>
          <w:trHeight w:val="1254"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教师资格认定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《中华人民共和国教师法》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《教师资格条例》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《国家职业资格目录（2021年版）》</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适龄儿童、少年因身体状况需要</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延缓入学或者休学审批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区教育局；街道办事处</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《中华人民共和国义务教育法》</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社会团体成立、变更、注销登记及修改章程核准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区行政审批局（实行登记管理机关和业务主管单位双重负责管理体制的，由有关业务主管单位实施前置审查）</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《社会团体登记管理条例》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民办非企业单位成立、变更、注销登记及修改章程核准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区行政审批局（实行登记管理机关和业务主管单位双重负责管理体制的，由有关业务主管单位实施前置审查）</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《民办非企业单位登记管理暂行条例》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宗教活动场所法人成立、变更、注销登记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区行政审批局（由区民宗局实施前置审查）</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《宗教事务条例》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慈善组织公开募捐资格审批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《中华人民共和国慈善法》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殡葬设施建设审批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区政府（由区行政审批局承办）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《殡葬管理条例》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地名命名、更名审批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区民政局、区住建局、区交通运输局、区水务局、区文化旅游局、区秦保局、区气象局等区级有关部门</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《地名管理条例》</w:t>
            </w:r>
          </w:p>
        </w:tc>
      </w:tr>
      <w:tr>
        <w:tblPrEx>
          <w:tblCellMar>
            <w:top w:w="0" w:type="dxa"/>
            <w:left w:w="108" w:type="dxa"/>
            <w:bottom w:w="0" w:type="dxa"/>
            <w:right w:w="108" w:type="dxa"/>
          </w:tblCellMar>
        </w:tblPrEx>
        <w:trPr>
          <w:cantSplit/>
          <w:trHeight w:val="1826"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区财政局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中介机构从事代理记账业务审批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《中华人民共和国会计法》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38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区人社局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职业培训学校筹设审批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《中华人民共和国民办教育促进法》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《中华人民共和国中外合作办学条例》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《西安市人民政府关于下放一批行政事项的通知》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31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区人社局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职业培训学校办学许可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《中华人民共和国民办教育促进法》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《中华人民共和国中外合作办学条例》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《西安市人民政府关于下放一批行政事项的通知》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区人社局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人力资源服务许可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《中华人民共和国就业促进法》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《人力资源市场暂行条例》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《陕西省人力资源市场条例》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56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区人社局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劳务派遣经营许可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《中华人民共和国劳动合同法》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《劳务派遣行政许可实施办法》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《陕西省人民政府关于取消和下放一批行政审批等项目的决定》（陕政发〔2016〕34号）</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《陕西省人力资源和社会保障厅关于印发〈劳务派遣行政许可实施细则〉的通知》（陕人社发〔2013〕43号）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313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区人社局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企业实行不定时工作制和综合计算工时工作制审批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《中华人民共和国劳动法》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《关于企业实行不定时工作制和综合计算工时工作制的审批办法》（劳部发〔1994〕503号）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《陕西省人民政府关于取消和调整一批行政审批项目的决定》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（陕政发〔2015〕6号）</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《陕西省关于企业实行不定时工作制和综合计算工时工作制的审批办法》（陕劳发〔1995〕201号）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《西安市人民政府关于取消和调整一批行政事权的通知》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（市政发〔2016〕22号）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591"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建筑工程施工许可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《中华人民共和国建筑法》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《建筑工程施工许可管理办法》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商品房预售许可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《中华人民共和国城市房地产管理法》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建设工程消防设计审查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《中华人民共和国消防法》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《建设工程消防设计审查验收管理暂行规定》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《陕西省住房和城乡建设厅〈建设工程消防设计审查验收管理暂行规定〉实施细则》（陕建消发〔2023〕34号）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39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建设工程消防验收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《中华人民共和国消防法》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《建设工程消防设计审查验收管理暂行规定》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《陕西省住房和城乡建设厅〈建设工程消防设计审查验收管理暂行规定〉实施细则》（陕建消发〔2023〕34号）</w:t>
            </w:r>
          </w:p>
        </w:tc>
      </w:tr>
      <w:tr>
        <w:tblPrEx>
          <w:tblCellMar>
            <w:top w:w="0" w:type="dxa"/>
            <w:left w:w="108" w:type="dxa"/>
            <w:bottom w:w="0" w:type="dxa"/>
            <w:right w:w="108" w:type="dxa"/>
          </w:tblCellMar>
        </w:tblPrEx>
        <w:trPr>
          <w:cantSplit/>
          <w:trHeight w:val="90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在村庄、集镇规划区内公共场所修建临时建筑等设施审批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街道办事处</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《村庄和集镇规划建设管理条例》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建筑起重机械使用登记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《中华人民共和国特种设备安全法》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《建设工程安全生产管理条例》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tc>
      </w:tr>
      <w:tr>
        <w:tblPrEx>
          <w:tblCellMar>
            <w:top w:w="0" w:type="dxa"/>
            <w:left w:w="108" w:type="dxa"/>
            <w:bottom w:w="0" w:type="dxa"/>
            <w:right w:w="108" w:type="dxa"/>
          </w:tblCellMar>
        </w:tblPrEx>
        <w:trPr>
          <w:cantSplit/>
          <w:trHeight w:val="120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单位、组织和个人投资建设除城市道路外的其他市政公用设施的</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城镇污水排入排水管网许可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《城镇排水与污水处理条例》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拆除、改动城镇排水与污水处理</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设施审核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《城镇排水与污水处理条例》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燃气经营许可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《城镇燃气管理条例》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《西安市燃气管理条例》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燃气经营者改动市政燃气</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《城镇燃气管理条例》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《国务院关于第六批取消和调整行政审批项目的决定》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（国发〔2012〕52号）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《西安市人民政府关于取消和下放一批行政审批事项的通知》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（市政发〔2014〕19号）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447"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市政设施建设类审批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《城市道路管理条例》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特殊车辆在城市道路上行驶审批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《城市道路管理条例》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49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新建、改建、扩建燃气工程核准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《陕西省燃气管理条例》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临时占用城市道路设置商业摊点、电话亭、宣传娱乐活动点、机动车停车场、非机动车保管站和堆放物料、施工作业的批准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区住建局和公安分局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《西安市人民政府关于下放一批行政事权的通知》</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（市政发〔2020〕11号）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建设工程施工需要迁移、改建排水、防洪设施批准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在排水、防洪设施保护范围内临时进行施工作业批准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迁移、拆卸、改动城市道路照明设施或在设施上拉线接电、悬挂物品的批准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改装、拆除、迁移、连接供水、供热、燃气管道设施的批准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《陕西省城市市政公用设施管理条例》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在城市供水、供热、燃气设施保护范围内从事施工作业的批准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《陕西省城市市政公用设施管理条例》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区住建局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集中供热经营许可证核发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《西安市集中供热条例》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17"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关闭、闲置、拆除城市环境卫生</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设施许可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区城管局会同生态环境分局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《中华人民共和国固体废物污染环境防治法》</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从事城市生活垃圾经营性清扫、收集、运输、处理服务审批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（市政府令第150号）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59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城市建筑垃圾处置核准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《西安市建筑垃圾管理条例》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改变绿化规划、绿化用地的</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使用性质审批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《西安市城市绿化条例》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工程建设涉及城市绿地、树木审批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《城市绿化条例》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《西安市城市绿化条例》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设置大型户外广告及在城市建筑物、设施上悬挂、张贴宣传品审批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《城市市容和环境卫生管理条例》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《西安市户外广告设置管理条例》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《〈西安市户外广告设置管理条例〉实施细则》</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（市政府令第150号）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临时性建筑物搭建、堆放物料、占道施工审批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《城市市容和环境卫生管理条例》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《西安市城市市容和环境卫生管理条例》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《西安市人民政府关于下放一批行政事权的通知》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因建设需要必须拆迁、改建、封闭环境卫生设施的审批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《陕西省城市市容环境卫生条例》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区城管局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城市公园内举办展览、文体表演等活动审批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《陕西省城市公共空间管理条例》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公路建设项目设计文件审批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《建设工程质量管理条例》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《建设工程勘察设计管理条例》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《农村公路建设管理办法》（交通运输部令2018年第4号）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公路建设项目施工许可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《公路建设市场管理办法》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公路建设项目竣工验收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《收费公路管理条例》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《公路工程竣（交）工验收办法》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《农村公路建设管理办法》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69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公路超限运输许可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《公路安全保护条例》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《超限运输车辆行驶公路管理规定》</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涉路施工许可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《公路安全保护条例》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《路政管理规定》（交通部令2003年第2号公布，</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交通运输部令2016年第81号修正）</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更新采伐护路林审批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《公路安全保护条例》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《路政管理规定》（交通部令2003年第2号公布，</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交通运输部令2016年第81号修正）</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道路旅客运输经营许可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《中华人民共和国道路运输条例》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《道路旅客运输及客运站管理规定》</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道路旅客运输站经营许可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《中华人民共和国道路运输条例》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《道路旅客运输及客运站管理规定》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道路货物运输经营许可（除使用4500千克及以下普通货运车辆从事普通货运经营外）</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《中华人民共和国道路运输条例》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《道路货物运输及站场管理规定》</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出租汽车经营许可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《巡游出租汽车经营服务管理规定》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《网络预约出租汽车经营服务管理暂行办法》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出租汽车车辆运营证核发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《巡游出租汽车经营服务管理规定》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《网络预约出租汽车经营服务管理暂行办法》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海域或者内河通航水域、岸线施工作业许可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《中华人民共和国海上交通安全法》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《中华人民共和国内河交通安全管理条例》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船员适任证书核发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《中华人民共和国海上交通安全法》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《中华人民共和国船员条例》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《交通运输部办公厅关于全面推行直属海事系统权责清单制度的通知》（交办海〔2018〕19号）</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《国家职业资格目录（2021年版）》</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79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占用国防交通控制范围土地审批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区交通运输局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《中华人民共和国国防交通法》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《国防交通条例》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拆除、改动、迁移城市公共供水设施审核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《城市供水条例》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由于工程施工、设备维修等原因确需停止供水的审批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《城市供水条例》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水利基建项目初步设计文件审批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《国务院对确需保留的行政审批项目设定行政许可的决定》</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取水许可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《中华人民共和国黄河保护法》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《取水许可和水资源费征收管理条例》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洪水影响评价类审批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《中华人民共和国防洪法》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《中华人民共和国河道管理条例》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《中华人民共和国水文条例》</w:t>
            </w:r>
          </w:p>
        </w:tc>
      </w:tr>
      <w:tr>
        <w:tblPrEx>
          <w:tblCellMar>
            <w:top w:w="0" w:type="dxa"/>
            <w:left w:w="108" w:type="dxa"/>
            <w:bottom w:w="0" w:type="dxa"/>
            <w:right w:w="108" w:type="dxa"/>
          </w:tblCellMar>
        </w:tblPrEx>
        <w:trPr>
          <w:cantSplit/>
          <w:trHeight w:val="597"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河道管理范围内特定活动审批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《中华人民共和国河道管理条例》</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河道采砂许可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《中华人民共和国长江保护法》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《中华人民共和国黄河保护法》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《中华人民共和国河道管理条例》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《长江河道采砂管理条例》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生产建设项目水土保持方案审批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《中华人民共和国水土保持法》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《中华人民共和国黄河保护法》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农村集体经济组织修建水库审批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《中华人民共和国水法》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89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城市建设填堵水域、废除围堤审批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区政府（由区行政审批局承办）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《中华人民共和国防洪法》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占用农业灌溉水源、</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灌排工程设施审批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《国务院对确需保留的行政审批项目设定行政许可的决定》</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利用堤顶、戗台兼做公路审批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《中华人民共和国河道管理条例》</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坝顶兼做公路审批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区水务局、区发改委、区住建局、区交通局、区农业农村局等大坝主管部门</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《水库大坝安全管理条例》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蓄滞洪区避洪设施建设审批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《国务院对确需保留的行政审批项目设定行政许可的决定》</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大坝管理和保护范围内修建码头、渔塘许可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区行政审批局、区发改委、区住建局、区交通局、区农业农村局等</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部门</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《水库大坝安全管理条例》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挖掘、占用、利用、跨（穿）越水工程设施建设活动批准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《陕西省水工程管理条例》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污水处理设施、再生水利用设施设计方案审查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《西安市城市污水处理和再生水利用条例》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新建、扩建、改建建设项目的节约用水设计方案审批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《西安市城市节约用水条例》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区水务局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地下水凿井施工核准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《西安市地下水资源管理条例》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99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农药经营许可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《农药管理条例》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兽药经营许可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《兽药管理条例》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农作物种子生产经营许可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《中华人民共和国种子法》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《农业转基因生物安全管理条例》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《农作物种子生产经营许可管理办法》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食用菌菌种生产经营许可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区农业农村局（部分</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审批，部分受理）</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《中华人民共和国种子法》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《食用菌菌种管理办法》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使用低于国家或地方规定的种用标准的农作物种子审批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区政府（由区农业农村局承办）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《中华人民共和国种子法》</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种畜禽生产经营许可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《中华人民共和国畜牧法》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《农业转基因生物安全管理条例》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《养蜂管理办法（试行）》（农业部公告第1692号）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蚕种生产经营许可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区行政审批局（受理）</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《中华人民共和国畜牧法》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《蚕种管理办法》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农业植物检疫证书核发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《植物检疫条例》</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农业植物产地检疫合格证签发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《植物检疫条例》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农业野生植物采集、出售、收购、野外考察审批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区农业农村局（受理采集国家二级保护野生植物审批）</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《中华人民共和国野生植物保护条例》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109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动物及动物产品检疫合格证核发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《中华人民共和国动物防疫法》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《动物检疫管理办法》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动物防疫条件合格证核发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《中华人民共和国动物防疫法》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《动物防疫条件审查办法》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向无规定动物疫病区输入易感动物、动物产品的检疫审批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《中华人民共和国动物防疫法》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《动物检疫管理办法》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动物诊疗许可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《中华人民共和国动物防疫法》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《动物诊疗机构管理办法》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生鲜乳收购站许可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《乳品质量安全监督管理条例》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生鲜乳准运证明核发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《乳品质量安全监督管理条例》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拖拉机和联合收割机驾驶证核发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《农业机械安全监督管理条例》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拖拉机和联合收割机登记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《农业机械安全监督管理条例》</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工商企业等社会资本通过流转取得土地经营权审批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区政府（由区农业农村局承办）；街道办事处（由农村经营管理部门承办）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《中华人民共和国农村土地承包法》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《农村土地经营权流转管理办法》（农业农村部令2021年第1号）</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农村村民宅基地审批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街道办事处</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119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人工繁育国家重点保护水生野生动物审批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《中华人民共和国野生动物保护法》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《中华人民共和国水生野生动物利用特许办法》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《国家林业局、农业部公告》（2017 年第14号）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（省政府令第 235 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渔业船舶船员证书核发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《中华人民共和国渔港水域交通安全管理条例》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《中华人民共和国渔业船员管理办法》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《国家职业资格目录（2021年版）》</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水产苗种生产经营审批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《水产苗种管理办法》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《农业转基因生物安全管理条例》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水域滩涂养殖证核发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区政府（由区行政审批局承办）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渔业船网工具指标审批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《渔业捕捞许可管理规定》</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渔业捕捞许可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《中华人民共和国渔业法实施细则》</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《渔业捕捞许可管理规定》</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专用航标的设置、撤除、位置移动和其他状况改变审批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《中华人民共和国航标条例》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《渔业航标管理办法》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渔业船舶国籍登记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区农业农村局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《中华人民共和国船舶登记条例》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《中华人民共和国渔港水域交通安全管理条例》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《中华人民共和国渔业船舶登记办法》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文艺表演团体设立审批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《营业性演出管理条例》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营业性演出审批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《营业性演出管理条例》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《营业性演出管理条例实施细则》</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129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娱乐场所经营活动审批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《娱乐场所管理条例》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互联网上网服务营业场所筹建审批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《互联网上网服务营业场所管理条例》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互联网上网服务经营活动审批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《互联网上网服务营业场所管理条例》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广播电视专用频段频率使用许可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区文化旅游局（由本级广电部门受理并逐级上报广电总局）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广播电台、电视台设立、终止审批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区文化旅游局（地方广播电台、电视台设立、终止由其本级广电部门受理并逐级上报广电总局）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广播电台、电视台变更台名、台标、节目设置范围或节目套数审批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区文化旅游局（由本级广电部门受理并逐级上报广电总局）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乡镇设立广播电视站和机关、部队、团体、企业事业单位设立有线广播电视站审批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《广播电视管理条例》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《广播电视站审批管理暂行规定》</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有线广播电视传输覆盖网工程验收审核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广播电视视频点播业务审批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区文化旅游局（由本级广电部门受理并逐级上报省广电局）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《广播电视视频点播业务管理办法》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卫星电视广播地面接收设施安装服务许可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《卫星电视广播地面接收设施管理规定》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《卫星电视广播地面接收设施安装服务暂行办法》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《广电总局关于设立卫星地面接收设施安装服务机构审批事项的通知》（广发〔2010〕24号）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139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设置卫星电视广播地面接收</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《广播电视管理条例》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《卫星电视广播地面接收设施管理规定》</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举办健身气功活动及</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设立站点审批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《健身气功管理办法》（体育总局令2006年第9号）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4572"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高危险性体育项目经营许可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《中华人民共和国体育法》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《全民健身条例》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《国务院关于取消和下放一批行政审批项目等事项的决定》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（国发〔2013〕19号）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《经营高危险性体育项目许可管理办法》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（国家体育总局令2013年第17号）</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《陕西省体育局关于做好经营高危险性体育项目管理工作的通知》（陕体发〔2013〕59号）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《西安市人民政府关于取消和下放一批行政审批事项的通知》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（市政发〔2014〕19号）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临时占用公共体育场地设施审批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《中华人民共和国体育法》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举办高危险性体育赛事活动许可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《中华人民共和国体育法》</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建设工程文物保护许可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区政府（由区文化旅游局承办，征得市文物局同意）；区文化旅游局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《中华人民共和国文物保护法》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文物保护单位原址保护措施审批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《中华人民共和国文物保护法》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核定为文物保护单位的属于国家所有的纪念建筑物或者古建筑改变用途审批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区政府（由区文化旅游局承办，征得市文物局同意）</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《中华人民共和国文物保护法》</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不可移动文物修缮审批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《中华人民共和国文物保护法》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非国有文物收藏单位和其他单位借用国有馆藏文物审批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《中华人民共和国文物保护法》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149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博物馆处理不够入藏标准、无保存价值的文物或标本审批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《国务院对确需保留的行政审批项目设定行政许可的决定》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饮用水供水单位卫生许可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《中华人民共和国传染病防治法》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公共场所卫生许可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《公共场所卫生管理条例》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医疗机构建设项目放射性职业病危害预评价报告审核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《中华人民共和国职业病防治法》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《放射诊疗管理规定》（卫生部令第46号公布，国家卫生计生委令第8号修正）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医疗机构建设项目放射性职业病防护设施竣工验收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《中华人民共和国职业病防治法》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《放射诊疗管理规定》（卫生部令第46号公布，国家卫生计生委令第8号修正）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25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医疗机构设置审批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《医疗机构管理条例》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364"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医疗机构执业登记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《医疗机构管理条例》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母婴保健技术服务机构执业许可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《中华人民共和国母婴保健法》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《中华人民共和国母婴保健法实施办法》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《母婴保健专项技术服务许可及人员资格管理办法》（卫妇发〔1995〕7号公布，国家卫生健康委令第7号修正）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放射源诊疗技术和医用辐射机构许可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《放射性同位素与射线装置安全和防护条例》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《放射诊疗管理规定》（卫生部令第46号公布，国家卫生计生委令第8号修正）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单采血浆站设置审批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《血液制品管理条例》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159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医师执业注册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《中华人民共和国医师法》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《医师执业注册管理办法》（国家卫生计生委令第13号）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乡村医生执业注册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《乡村医生从业管理条例》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母婴保健服务人员资格认定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《中华人民共和国母婴保健法》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《中华人民共和国母婴保健法实施办法》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《母婴保健专项技术服务许可及人员资格管理办法》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《国家职业资格目录（2021年版）》</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护士执业注册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《护士条例》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《国家职业资格目录（2021年版）》</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确有专长的中医医师资格认定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区卫生健康局（由县级中医药主管部门受理并逐级上报省中医药局）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《中华人民共和国中医药法》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《中医医术确有专长人员医师资格考核注册管理暂行办法》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（国家卫生计生委令第15号）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确有专长的中医医师执业注册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《中华人民共和国中医药法》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《中医医术确有专长人员医师资格考核注册管理暂行办法》（国家卫生计生委令第15号）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中医医疗机构设置审批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《中华人民共和国中医药法》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《医疗机构管理条例》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64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区卫生健康局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中医医疗机构执业登记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《中华人民共和国中医药法》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《医疗机构管理条例》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1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石油天然气建设项目安全设施</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设计审查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《中华人民共和国安全生产法》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《建设项目安全设施“三同时”监督管理办法》（安全监管总局令第36号公布，安全监管总局令第77号修正）</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《国家安全监管总局办公厅关于明确非煤矿山建设项目安全监管职责等事项的通知》（安监总厅管一〔2013〕143号）</w:t>
            </w:r>
          </w:p>
        </w:tc>
      </w:tr>
      <w:tr>
        <w:tblPrEx>
          <w:tblCellMar>
            <w:top w:w="0" w:type="dxa"/>
            <w:left w:w="108" w:type="dxa"/>
            <w:bottom w:w="0" w:type="dxa"/>
            <w:right w:w="108" w:type="dxa"/>
          </w:tblCellMar>
        </w:tblPrEx>
        <w:trPr>
          <w:cantSplit/>
          <w:trHeight w:val="253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金属冶炼建设项目安全设施</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设计审查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《中华人民共和国安全生产法》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《建设项目安全设施“三同时”监督管理办法》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（安全监管总局令第36号公布，安全监管总局令第77号修正）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《冶金企业和有色金属企业安全生产规定》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（安全监管总局令第91号）</w:t>
            </w:r>
          </w:p>
        </w:tc>
      </w:tr>
      <w:tr>
        <w:tblPrEx>
          <w:tblCellMar>
            <w:top w:w="0" w:type="dxa"/>
            <w:left w:w="108" w:type="dxa"/>
            <w:bottom w:w="0" w:type="dxa"/>
            <w:right w:w="108" w:type="dxa"/>
          </w:tblCellMar>
        </w:tblPrEx>
        <w:trPr>
          <w:cantSplit/>
          <w:trHeight w:val="1821"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169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危险化学品经营许可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《危险化学品安全管理条例》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《危险化学品经营许可证管理办法》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（安全监管总局令第55号公布，安全监管总局令第79号修正）</w:t>
            </w:r>
          </w:p>
        </w:tc>
      </w:tr>
      <w:tr>
        <w:tblPrEx>
          <w:tblCellMar>
            <w:top w:w="0" w:type="dxa"/>
            <w:left w:w="108" w:type="dxa"/>
            <w:bottom w:w="0" w:type="dxa"/>
            <w:right w:w="108" w:type="dxa"/>
          </w:tblCellMar>
        </w:tblPrEx>
        <w:trPr>
          <w:cantSplit/>
          <w:trHeight w:val="1712"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生产、储存烟花爆竹建设项目安全设施设计审查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《中华人民共和国安全生产法》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《建设项目安全设施“三同时”监督管理办法》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（安全监管总局令第36号公布，安全监管总局令第77号修正）</w:t>
            </w:r>
          </w:p>
        </w:tc>
      </w:tr>
      <w:tr>
        <w:tblPrEx>
          <w:tblCellMar>
            <w:top w:w="0" w:type="dxa"/>
            <w:left w:w="108" w:type="dxa"/>
            <w:bottom w:w="0" w:type="dxa"/>
            <w:right w:w="108" w:type="dxa"/>
          </w:tblCellMar>
        </w:tblPrEx>
        <w:trPr>
          <w:cantSplit/>
          <w:trHeight w:val="2124"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烟花爆竹经营许可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《烟花爆竹安全管理条例》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《烟花爆竹经营许可实施办法》（安全监管总局令第65号）</w:t>
            </w:r>
          </w:p>
        </w:tc>
      </w:tr>
      <w:tr>
        <w:tblPrEx>
          <w:tblCellMar>
            <w:top w:w="0" w:type="dxa"/>
            <w:left w:w="108" w:type="dxa"/>
            <w:bottom w:w="0" w:type="dxa"/>
            <w:right w:w="108" w:type="dxa"/>
          </w:tblCellMar>
        </w:tblPrEx>
        <w:trPr>
          <w:cantSplit/>
          <w:trHeight w:val="427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矿山建设项目安全设施设计审查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区应急管理局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《中华人民共和国安全生产法》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《煤矿安全监察条例》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《煤矿建设项目安全设施监察规定》（安全监管总局令第6号公布，安全监管总局令第81号修正）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《建设项目安全设施“三同时”监督管理办法》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（安全监管总局令第36号公布，安全监管总局令第77号修正）</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《国家安全监管总局办公厅关于切实做好国家取消和下放投资审批有关建设项目安全监管工作的通知》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（安监总厅政法〔2013〕120号）</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《国家安全监管总局办公厅关于明确非煤矿山建设项目安全监管职责等事项的通知》（安监总厅管一〔2013〕143号）</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《中华人民共和国应急管理部公告》（2021年第1号）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食品生产许可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《中华人民共和国食品安全法》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《食品生产许可管理办法》（市场监管总局令第24号）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食品添加剂生产许可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《中华人民共和国食品安全法》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《食品生产许可管理办法》（市场监管总局令第24号）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《中华人民共和国食品安全法》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《食品经营许可管理办法》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《西安市人民政府关于下放一批行政事权的通知》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特种设备使用登记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《中华人民共和国特种设备安全法》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《特种设备安全监察条例》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《西安市特种设备安全条例》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（市政府令第150号）</w:t>
            </w:r>
          </w:p>
        </w:tc>
      </w:tr>
      <w:tr>
        <w:tblPrEx>
          <w:tblCellMar>
            <w:top w:w="0" w:type="dxa"/>
            <w:left w:w="108" w:type="dxa"/>
            <w:bottom w:w="0" w:type="dxa"/>
            <w:right w:w="108" w:type="dxa"/>
          </w:tblCellMar>
        </w:tblPrEx>
        <w:trPr>
          <w:cantSplit/>
          <w:trHeight w:val="1963"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特种设备安全管理和作业人员</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资格认定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《中华人民共和国特种设备安全法》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《特种设备安全监察条例》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《特种设备作业人员监督管理办法》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（质检总局令第70号公布，质检总局令第140号修正）</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《国家职业资格目录（2021年版）》</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计量标准器具核准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《中华人民共和国计量法》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《中华人民共和国计量法实施细则》</w:t>
            </w:r>
          </w:p>
        </w:tc>
      </w:tr>
      <w:tr>
        <w:tblPrEx>
          <w:tblCellMar>
            <w:top w:w="0" w:type="dxa"/>
            <w:left w:w="108" w:type="dxa"/>
            <w:bottom w:w="0" w:type="dxa"/>
            <w:right w:w="108" w:type="dxa"/>
          </w:tblCellMar>
        </w:tblPrEx>
        <w:trPr>
          <w:cantSplit/>
          <w:trHeight w:val="100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179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承担国家法定计量检定机构</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任务授权</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《中华人民共和国计量法》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《中华人民共和国计量法实施细则》</w:t>
            </w:r>
          </w:p>
        </w:tc>
      </w:tr>
      <w:tr>
        <w:tblPrEx>
          <w:tblCellMar>
            <w:top w:w="0" w:type="dxa"/>
            <w:left w:w="108" w:type="dxa"/>
            <w:bottom w:w="0" w:type="dxa"/>
            <w:right w:w="108" w:type="dxa"/>
          </w:tblCellMar>
        </w:tblPrEx>
        <w:trPr>
          <w:cantSplit/>
          <w:trHeight w:val="296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企业登记注册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《中华人民共和国公司法》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《中华人民共和国合伙企业法》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《中华人民共和国个人独资企业法》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《中华人民共和国外商投资法》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《中华人民共和国外商投资法实施条例》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《中华人民共和国市场主体登记管理条例》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个体工商户登记注册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《中华人民共和国市场主体登记管理条例》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《促进个体工商户发展条例》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《中华人民共和国市场主体登记管理条例实施细则》</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农民专业合作社登记注册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《中华人民共和国农民专业合作社法》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《中华人民共和国市场主体登记管理条例》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《中华人民共和国市场主体登记管理条例实施细则》</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药品零售企业筹建审批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《中华人民共和国药品管理法》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《中华人民共和国药品管理法实施条例》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《西安市人民政府关于下放一批行政事权的通知》（市政发〔2020〕11号）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药品零售企业经营许可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《中华人民共和国药品管理法》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《中华人民共和国药品管理法实施条例》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《西安市人民政府关于下放一批行政事权的通知》</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（市政发〔2020〕11号）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科研和教学用毒性药品购买审批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《医疗用毒性药品管理办法》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《陕西省人民政府关于取消和下放41项行政审批项目的决定》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（陕政发〔2014〕13号）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第三类医疗器械经营许可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《医疗器械监督管理条例》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《西安市人民政府关于委托一批行政许可事项的决定》</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（市政府令第150号）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食品小作坊生产许可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《陕西省食品小作坊小餐饮及摊贩管理条例》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区市场监管局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小餐饮经营许可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《陕西省食品小作坊小餐饮及摊贩管理条例》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26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189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林草种子生产经营许可证核发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《中华人民共和国种子法》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56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林草植物检疫证书核发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《植物检疫条例》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建设项目使用林地及在森林和野生动物类型国家级自然保护区建设审批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《中华人民共和国森林法》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《中华人民共和国森林法实施条例》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《森林和野生动物类型自然保护区管理办法》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99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林木采伐许可证核发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《中华人民共和国森林法》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《中华人民共和国森林法实施条例》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猎捕陆生野生动物审批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《中华人民共和国野生动物保护法》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《中华人民共和国陆生野生动物保护实施条例》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374"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在风景名胜区内从事建设、设置广告、举办大型游乐活动以及其他影响生态和景观活动许可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风景名胜区管理机构（区秦保局）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《风景名胜区条例》</w:t>
            </w:r>
          </w:p>
        </w:tc>
      </w:tr>
      <w:tr>
        <w:tblPrEx>
          <w:tblCellMar>
            <w:top w:w="0" w:type="dxa"/>
            <w:left w:w="108" w:type="dxa"/>
            <w:bottom w:w="0" w:type="dxa"/>
            <w:right w:w="108" w:type="dxa"/>
          </w:tblCellMar>
        </w:tblPrEx>
        <w:trPr>
          <w:cantSplit/>
          <w:trHeight w:val="1518"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森林草原防火期内在森林草原防火区野外用火审批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区政府（由区行政审批局承办）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《森林防火条例》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《草原防火条例》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2677"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进入森林高火险区、草原防火</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管制区审批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区政府（由区行政审批局承办）；区行政审批局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《森林防火条例》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《草原防火条例》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《西安市人民政府办公厅关于贯彻落实中省取消承接和下放一批行政事权的通知》（市政办发〔2019〕45号）</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106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工商企业等社会资本通过流转取得林地经营权审批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区政府（由区秦保局承办）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《中华人民共和国农村土地承包法》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区秦保局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采集、出售、收购、出口省重点保护野生植物审批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区行政审批局（负责采集、出售、收购初审）</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《陕西省野生植物保护条例》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《西安市临潼区全面落实相对集中行政许可权改革实施方案》</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（临办字〔2020〕54号）</w:t>
            </w:r>
          </w:p>
        </w:tc>
      </w:tr>
      <w:tr>
        <w:tblPrEx>
          <w:tblCellMar>
            <w:top w:w="0" w:type="dxa"/>
            <w:left w:w="108" w:type="dxa"/>
            <w:bottom w:w="0" w:type="dxa"/>
            <w:right w:w="108" w:type="dxa"/>
          </w:tblCellMar>
        </w:tblPrEx>
        <w:trPr>
          <w:cantSplit/>
          <w:trHeight w:val="658" w:hRule="atLeast"/>
          <w:jc w:val="center"/>
        </w:trPr>
        <w:tc>
          <w:tcPr>
            <w:tcW w:w="145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黑体" w:hAnsi="黑体" w:eastAsia="黑体" w:cs="黑体"/>
                <w:color w:val="000000"/>
                <w:kern w:val="0"/>
              </w:rPr>
              <w:t>（二）垂直管理机构实施事项</w:t>
            </w:r>
          </w:p>
        </w:tc>
      </w:tr>
      <w:tr>
        <w:tblPrEx>
          <w:tblCellMar>
            <w:top w:w="0" w:type="dxa"/>
            <w:left w:w="108" w:type="dxa"/>
            <w:bottom w:w="0" w:type="dxa"/>
            <w:right w:w="108" w:type="dxa"/>
          </w:tblCellMar>
        </w:tblPrEx>
        <w:trPr>
          <w:cantSplit/>
          <w:trHeight w:val="64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kern w:val="0"/>
              </w:rPr>
            </w:pPr>
            <w:r>
              <w:rPr>
                <w:rFonts w:hint="eastAsia" w:ascii="黑体" w:hAnsi="黑体" w:eastAsia="黑体" w:cs="黑体"/>
                <w:color w:val="000000"/>
                <w:kern w:val="0"/>
              </w:rPr>
              <w:t>序号</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kern w:val="0"/>
              </w:rPr>
            </w:pPr>
            <w:r>
              <w:rPr>
                <w:rFonts w:hint="eastAsia" w:ascii="黑体" w:hAnsi="黑体" w:eastAsia="黑体" w:cs="黑体"/>
                <w:color w:val="000000"/>
                <w:kern w:val="0"/>
              </w:rPr>
              <w:t>区级主管部门</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kern w:val="0"/>
              </w:rPr>
            </w:pPr>
            <w:r>
              <w:rPr>
                <w:rFonts w:hint="eastAsia" w:ascii="黑体" w:hAnsi="黑体" w:eastAsia="黑体" w:cs="黑体"/>
                <w:color w:val="000000"/>
                <w:kern w:val="0"/>
              </w:rPr>
              <w:t>事项名称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kern w:val="0"/>
              </w:rPr>
            </w:pPr>
            <w:r>
              <w:rPr>
                <w:rFonts w:hint="eastAsia" w:ascii="黑体" w:hAnsi="黑体" w:eastAsia="黑体" w:cs="黑体"/>
                <w:color w:val="000000"/>
                <w:kern w:val="0"/>
              </w:rPr>
              <w:t>区级实施机关</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黑体" w:hAnsi="黑体" w:eastAsia="黑体" w:cs="黑体"/>
                <w:color w:val="000000"/>
                <w:kern w:val="0"/>
              </w:rPr>
            </w:pPr>
            <w:r>
              <w:rPr>
                <w:rFonts w:hint="eastAsia" w:ascii="黑体" w:hAnsi="黑体" w:eastAsia="黑体" w:cs="黑体"/>
                <w:color w:val="000000"/>
                <w:kern w:val="0"/>
              </w:rPr>
              <w:t>区级设定和实施依据</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199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民用枪支及枪支主要零部件、弹药配置许可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《中华人民共和国枪支管理法》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举行集会游行示威许可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《中华人民共和国集会游行示威法》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《中华人民共和国集会游行示威法实施条例》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大型群众性活动安全许可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《中华人民共和国消防法》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《大型群众性活动安全管理条例》</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公章刻制业特种行业许可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《印铸刻字业暂行管理规则》</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《公安部关于深化娱乐服务场所和特种行业治安管理改革进一步依法加强事中事后监管的工作意见》（公治〔2017〕529号）</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旅馆业特种行业许可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《旅馆业治安管理办法》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《公安部关于深化娱乐服务场所和特种行业治安管理改革进一步依法加强事中事后监管的工作意见》（公治〔2017〕529号）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互联网上网服务营业场所信息网络安全审核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《互联网上网服务营业场所管理条例》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举办焰火晚会及其他大型焰火燃放活动许可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《烟花爆竹安全管理条例》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《公安部办公厅关于贯彻执行〈大型焰火燃放作业人员资格条件及管理〉和〈大型焰火燃放作业单位资质条件及管理〉</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有关事项的通知》（公治〔2010〕592号）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烟花爆竹道路运输许可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公安分局（运达地或者启运地）</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《烟花爆竹安全管理条例》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《关于优化烟花爆竹道路运输许可审批进一步深化烟花爆竹“放管服”改革工作的通知》（公治安明发〔2019〕218号）</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民用爆炸物品购买许可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《民用爆炸物品安全管理条例》</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民用爆炸物品运输许可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公安分局（运达地）</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《民用爆炸物品安全管理条例》</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209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剧毒化学品购买许可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《危险化学品安全管理条例》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剧毒化学品道路运输通行许可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《危险化学品安全管理条例》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《剧毒化学品购买和公路运输许可证件管理办法》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放射性物品道路运输许可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《中华人民共和国核安全法》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《放射性物品运输安全管理条例》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运输危险化学品的车辆进入危险化学品运输车辆限制通行</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区域审批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《危险化学品安全管理条例》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易制毒化学品购买许可（除第一类中的药品类易制毒化学品外）</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《中华人民共和国禁毒法》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《易制毒化学品管理条例》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易制毒化学品运输许可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《中华人民共和国禁毒法》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《易制毒化学品管理条例》</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金融机构营业场所和金库安全防范设施建设方案审批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《金融机构营业场所和金库安全防范设施建设许可实施办法》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（公安部令第86号）</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金融机构营业场所和金库安全防范设施建设工程验收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《国务院对确需保留的行政审批项目设定行政许可的决定》</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《金融机构营业场所和金库安全防范设施建设许可实施办法》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（公安部令第86号）</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《中华人民共和国道路交通安全法实施条例》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《机动车登记规定》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机动车临时通行牌证核发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《中华人民共和国道路交通安全法实施条例》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《机动车登记规定》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219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机动车检验合格标志核发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《中华人民共和国道路交通安全法实施条例》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《机动车登记规定》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机动车驾驶证核发、审验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《中华人民共和国道路交通安全法实施条例》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《机动车驾驶证申领和使用规定》</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校车驾驶资格许可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《校车安全管理条例》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《机动车驾驶证申领和使用规定》</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非机动车登记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《陕西省实施〈中华人民共和国道路交通安全法〉办法》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涉路施工交通安全审查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《中华人民共和国道路交通安全法》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《中华人民共和国公路法》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《城市道路管理条例》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《陕西省实施〈中华人民共和国道路交通安全法〉办法》</w:t>
            </w:r>
          </w:p>
        </w:tc>
      </w:tr>
      <w:tr>
        <w:tblPrEx>
          <w:tblCellMar>
            <w:top w:w="0" w:type="dxa"/>
            <w:left w:w="108" w:type="dxa"/>
            <w:bottom w:w="0" w:type="dxa"/>
            <w:right w:w="108" w:type="dxa"/>
          </w:tblCellMar>
        </w:tblPrEx>
        <w:trPr>
          <w:cantSplit/>
          <w:trHeight w:val="649"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户口迁移审批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《中华人民共和国户口登记条例》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犬类准养证核发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《中华人民共和国动物防疫法》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《中华人民共和国传染病防治法实施办法》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普通护照签发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公安分局（受国家移民局委托实施）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《中华人民共和国护照法》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内地居民前往港澳通行证、往来港澳通行证及签注签发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公安分局（受中华人民共和国出入境管理局委托实施）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《中国公民因私事往来香港地区或者澳门地区的暂行管理办法》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港澳居民来往内地通行证签发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公安分局（受中华人民共和国出入境管理局委托实施）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《中国公民因私事往来香港地区或者澳门地区的暂行管理办法》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229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大陆居民往来台湾通行证及</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签注签发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公安分局（受中华人民共和国出入境管理局委托实施）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《中国公民往来台湾地区管理办法》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台湾居民来往大陆通行证签发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公安分局（受中华人民共和国出入境管理局委托实施）</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《中国公民往来台湾地区管理办法》</w:t>
            </w:r>
          </w:p>
        </w:tc>
      </w:tr>
      <w:tr>
        <w:tblPrEx>
          <w:tblCellMar>
            <w:top w:w="0" w:type="dxa"/>
            <w:left w:w="108" w:type="dxa"/>
            <w:bottom w:w="0" w:type="dxa"/>
            <w:right w:w="108" w:type="dxa"/>
          </w:tblCellMar>
        </w:tblPrEx>
        <w:trPr>
          <w:cantSplit/>
          <w:trHeight w:val="479"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收容流浪犬场所审批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《西安市限制养犬条例》</w:t>
            </w:r>
          </w:p>
        </w:tc>
      </w:tr>
      <w:tr>
        <w:tblPrEx>
          <w:tblCellMar>
            <w:top w:w="0" w:type="dxa"/>
            <w:left w:w="108" w:type="dxa"/>
            <w:bottom w:w="0" w:type="dxa"/>
            <w:right w:w="108" w:type="dxa"/>
          </w:tblCellMar>
        </w:tblPrEx>
        <w:trPr>
          <w:cantSplit/>
          <w:trHeight w:val="569"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犬类展览、竞赛、表演许可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公安分局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《西安市限制养犬条例》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开采矿产资源审批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《中华人民共和国矿产资源法》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《中华人民共和国矿产资源法实施细则》</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《矿产资源开采登记管理办法》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建设项目用地预审与选址</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意见书核发</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《中华人民共和国城乡规划法》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《中华人民共和国土地管理法》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《中华人民共和国土地管理法实施条例》</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《建设项目用地预审管理办法》（国土资源部令第68号）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国有建设用地使用权出让后土地使用权分割转让批准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《中华人民共和国城镇国有土地使用权出让和转让暂行条例》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乡（镇）村企业使用集体建设用地审批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区政府（由自然资源规划分局承办）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乡（镇）村公共设施、公益事业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使用集体建设用地审批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区政府（由自然资源规划分局承办）</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临时用地审批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《中华人民共和国土地管理法》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《陕西省实施〈中华人民共和国土地管理法〉办法》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239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建设用地、临时建设用地规划许可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《中华人民共和国城乡规划法》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建设工程、临时建设工程规划许可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《中华人民共和国城乡规划法》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乡村建设规划许可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《中华人民共和国城乡规划法》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《中华人民共和国土地管理法》</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法人或者其他组织需要利用属于国家秘密的基础测绘成果审批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《中华人民共和国测绘成果管理条例》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《基础测绘成果提供使用管理暂行办法》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（国测法字〔2006〕13号）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历史建筑实施原址保护审批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自然资源规划分局会同区文化旅游局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《历史文化名城名镇名村保护条例》</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历史文化街区、名镇、名村核心保护范围内拆除历史建筑以外的建筑物、构筑物或者其他设施审批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自然资源规划分局会同区文化旅游局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《历史文化名城名镇名村保护条例》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历史建筑外部修缮装饰、添加设施以及改变历史建筑的结构或者使用性质审批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自然资源规划分局会同区文化旅游局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《历史文化名城名镇名村保护条例》</w:t>
            </w:r>
          </w:p>
        </w:tc>
      </w:tr>
      <w:tr>
        <w:tblPrEx>
          <w:tblCellMar>
            <w:top w:w="0" w:type="dxa"/>
            <w:left w:w="108" w:type="dxa"/>
            <w:bottom w:w="0" w:type="dxa"/>
            <w:right w:w="108" w:type="dxa"/>
          </w:tblCellMar>
        </w:tblPrEx>
        <w:trPr>
          <w:cantSplit/>
          <w:trHeight w:val="228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一般建设项目环境影响评价审批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《中华人民共和国环境影响评价法》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《中华人民共和国大气污染防治法》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《中华人民共和国土壤污染防治法》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《中华人民共和国固体废物污染环境防治法》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《中华人民共和国环境噪声污染防治法》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《建设项目环境保护管理条例》</w:t>
            </w:r>
          </w:p>
        </w:tc>
      </w:tr>
      <w:tr>
        <w:tblPrEx>
          <w:tblCellMar>
            <w:top w:w="0" w:type="dxa"/>
            <w:left w:w="108" w:type="dxa"/>
            <w:bottom w:w="0" w:type="dxa"/>
            <w:right w:w="108" w:type="dxa"/>
          </w:tblCellMar>
        </w:tblPrEx>
        <w:trPr>
          <w:cantSplit/>
          <w:trHeight w:val="114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核与辐射类建设项目环境影响评价审批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《中华人民共和国环境影响评价法》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《中华人民共和国放射性污染防治法》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《中华人民共和国核安全法》</w:t>
            </w:r>
          </w:p>
        </w:tc>
      </w:tr>
      <w:tr>
        <w:tblPrEx>
          <w:tblCellMar>
            <w:top w:w="0" w:type="dxa"/>
            <w:left w:w="108" w:type="dxa"/>
            <w:bottom w:w="0" w:type="dxa"/>
            <w:right w:w="108" w:type="dxa"/>
          </w:tblCellMar>
        </w:tblPrEx>
        <w:trPr>
          <w:cantSplit/>
          <w:trHeight w:val="171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排污许可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《中华人民共和国环境保护法》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《中华人民共和国大气污染防治法》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《中华人民共和国固体废物污染环境防治法》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《中华人民共和国土壤污染防治法》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《排污许可管理条例》</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249</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江河、湖泊新建、改建或者扩大排污口审批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《中华人民共和国水污染防治法》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《中华人民共和国长江保护法》</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《中央编办关于生态环境部流域生态环境监管机构设置</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有关事项的通知》（中编办发〔2019〕26号）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250</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危险废物经营许可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《中华人民共和国固体废物污染环境防治法》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《危险废物经营许可证管理办法》</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251</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放射性核素排放许可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《中华人民共和国放射性污染防治法》</w:t>
            </w:r>
          </w:p>
        </w:tc>
      </w:tr>
      <w:tr>
        <w:tblPrEx>
          <w:tblCellMar>
            <w:top w:w="0" w:type="dxa"/>
            <w:left w:w="108" w:type="dxa"/>
            <w:bottom w:w="0" w:type="dxa"/>
            <w:right w:w="108" w:type="dxa"/>
          </w:tblCellMar>
        </w:tblPrEx>
        <w:trPr>
          <w:cantSplit/>
          <w:trHeight w:val="142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252</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辐射安全许可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生态环境分局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《中华人民共和国放射性污染防治法》</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《放射性同位素与射线装置安全和防护条例》</w:t>
            </w:r>
          </w:p>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《国务院关于深化“证照分离”改革进一步激发市场主体发展活力的通知》（国发〔2021〕7号）</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《陕西省放射性污染防治条例》</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253</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区税务局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增值税防伪税控系统最高开票限额审批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区税务局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《国务院对确需保留的行政审批项目设定行政许可的决定》</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254</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区烟草专卖局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烟草专卖零售许可</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区烟草专卖局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《中华人民共和国烟草专卖法》</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《中华人民共和国烟草专卖法实施条例》</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255</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雷电防护装置设计审核</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《气象灾害防御条例》</w:t>
            </w:r>
          </w:p>
        </w:tc>
      </w:tr>
      <w:tr>
        <w:tblPrEx>
          <w:tblCellMar>
            <w:top w:w="0" w:type="dxa"/>
            <w:left w:w="108" w:type="dxa"/>
            <w:bottom w:w="0" w:type="dxa"/>
            <w:right w:w="108" w:type="dxa"/>
          </w:tblCellMar>
        </w:tblPrEx>
        <w:trPr>
          <w:cantSplit/>
          <w:trHeight w:val="28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雷电防护装置竣工验收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《气象灾害防御条例》</w:t>
            </w:r>
          </w:p>
        </w:tc>
      </w:tr>
      <w:tr>
        <w:tblPrEx>
          <w:tblCellMar>
            <w:top w:w="0" w:type="dxa"/>
            <w:left w:w="108" w:type="dxa"/>
            <w:bottom w:w="0" w:type="dxa"/>
            <w:right w:w="108" w:type="dxa"/>
          </w:tblCellMar>
        </w:tblPrEx>
        <w:trPr>
          <w:cantSplit/>
          <w:trHeight w:val="855"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升放无人驾驶自由气球或者系留气球活动审批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区气象局会同有关部门</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《通用航空飞行管制条例》</w:t>
            </w:r>
          </w:p>
          <w:p>
            <w:pPr>
              <w:widowControl/>
              <w:spacing w:line="340" w:lineRule="exact"/>
              <w:jc w:val="center"/>
              <w:textAlignment w:val="center"/>
              <w:rPr>
                <w:rFonts w:hint="eastAsia" w:ascii="方正书宋简体" w:hAnsi="方正书宋简体" w:eastAsia="方正书宋简体" w:cs="方正书宋简体"/>
                <w:color w:val="000000"/>
                <w:kern w:val="0"/>
              </w:rPr>
            </w:pPr>
            <w:r>
              <w:rPr>
                <w:rFonts w:hint="eastAsia" w:ascii="方正书宋简体" w:hAnsi="方正书宋简体" w:eastAsia="方正书宋简体" w:cs="方正书宋简体"/>
                <w:color w:val="000000"/>
                <w:kern w:val="0"/>
              </w:rPr>
              <w:t>《国务院关于第六批取消和调整行政审批项目的决定》</w:t>
            </w:r>
          </w:p>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（国发〔2012〕52号）</w:t>
            </w:r>
          </w:p>
        </w:tc>
      </w:tr>
      <w:tr>
        <w:tblPrEx>
          <w:tblCellMar>
            <w:top w:w="0" w:type="dxa"/>
            <w:left w:w="108" w:type="dxa"/>
            <w:bottom w:w="0" w:type="dxa"/>
            <w:right w:w="108" w:type="dxa"/>
          </w:tblCellMar>
        </w:tblPrEx>
        <w:trPr>
          <w:cantSplit/>
          <w:trHeight w:val="57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258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区消防救援大队</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公众聚集场所投入使用、营业前消防安全检查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区消防救援大队</w:t>
            </w:r>
          </w:p>
        </w:tc>
        <w:tc>
          <w:tcPr>
            <w:tcW w:w="62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ascii="方正书宋简体" w:hAnsi="方正书宋简体" w:eastAsia="方正书宋简体" w:cs="方正书宋简体"/>
                <w:color w:val="000000"/>
              </w:rPr>
            </w:pPr>
            <w:r>
              <w:rPr>
                <w:rFonts w:hint="eastAsia" w:ascii="方正书宋简体" w:hAnsi="方正书宋简体" w:eastAsia="方正书宋简体" w:cs="方正书宋简体"/>
                <w:color w:val="000000"/>
                <w:kern w:val="0"/>
              </w:rPr>
              <w:t>《中华人民共和国消防法》</w:t>
            </w:r>
          </w:p>
        </w:tc>
      </w:tr>
    </w:tbl>
    <w:p>
      <w:pPr>
        <w:spacing w:line="560" w:lineRule="exact"/>
        <w:contextualSpacing/>
        <w:rPr>
          <w:rFonts w:ascii="黑体" w:hAnsi="黑体" w:eastAsia="黑体" w:cs="黑体"/>
          <w:sz w:val="32"/>
          <w:szCs w:val="32"/>
        </w:rPr>
        <w:sectPr>
          <w:footerReference r:id="rId3" w:type="default"/>
          <w:footerReference r:id="rId4" w:type="even"/>
          <w:pgSz w:w="16838" w:h="11906" w:orient="landscape"/>
          <w:pgMar w:top="1587" w:right="2098" w:bottom="1474" w:left="1984" w:header="851" w:footer="992" w:gutter="0"/>
          <w:pgNumType w:fmt="numberInDash"/>
          <w:cols w:space="720" w:num="1"/>
          <w:docGrid w:type="lines" w:linePitch="312" w:charSpace="0"/>
        </w:sect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hint="eastAsia" w:ascii="Times New Roman" w:hAnsi="Times New Roman" w:eastAsia="黑体"/>
        </w:rPr>
      </w:pPr>
    </w:p>
    <w:p>
      <w:pPr>
        <w:pStyle w:val="3"/>
        <w:spacing w:line="576" w:lineRule="exact"/>
        <w:contextualSpacing/>
        <w:rPr>
          <w:rFonts w:ascii="Times New Roman" w:hAnsi="Times New Roman" w:eastAsia="黑体"/>
        </w:rPr>
      </w:pPr>
    </w:p>
    <w:p>
      <w:pPr>
        <w:pStyle w:val="3"/>
        <w:spacing w:line="576" w:lineRule="exact"/>
        <w:contextualSpacing/>
        <w:rPr>
          <w:rFonts w:hint="eastAsia" w:ascii="Times New Roman" w:hAnsi="Times New Roman" w:eastAsia="黑体"/>
        </w:rPr>
      </w:pPr>
    </w:p>
    <w:p>
      <w:pPr>
        <w:pStyle w:val="3"/>
        <w:spacing w:line="576" w:lineRule="exact"/>
        <w:contextualSpacing/>
        <w:rPr>
          <w:rFonts w:ascii="Times New Roman" w:hAnsi="Times New Roman" w:eastAsia="黑体"/>
        </w:rPr>
      </w:pPr>
    </w:p>
    <w:p>
      <w:pPr>
        <w:spacing w:line="576" w:lineRule="exact"/>
        <w:rPr>
          <w:rFonts w:ascii="方正小标宋简体" w:eastAsia="方正小标宋简体"/>
          <w:sz w:val="44"/>
          <w:szCs w:val="44"/>
        </w:rPr>
      </w:pPr>
    </w:p>
    <w:p>
      <w:pPr>
        <w:spacing w:line="576" w:lineRule="exact"/>
        <w:rPr>
          <w:rFonts w:ascii="方正小标宋简体" w:eastAsia="方正小标宋简体"/>
          <w:sz w:val="44"/>
          <w:szCs w:val="44"/>
        </w:rPr>
      </w:pPr>
    </w:p>
    <w:p>
      <w:pPr>
        <w:pBdr>
          <w:top w:val="single" w:color="auto" w:sz="6" w:space="1"/>
          <w:bottom w:val="single" w:color="auto" w:sz="6" w:space="1"/>
        </w:pBdr>
        <w:spacing w:line="600" w:lineRule="exact"/>
        <w:ind w:left="840" w:hanging="840" w:hangingChars="300"/>
        <w:rPr>
          <w:rFonts w:eastAsia="仿宋_GB2312"/>
          <w:sz w:val="28"/>
          <w:szCs w:val="28"/>
        </w:rPr>
      </w:pPr>
      <w:r>
        <w:rPr>
          <w:rFonts w:hAnsi="仿宋_GB2312" w:eastAsia="仿宋_GB2312"/>
          <w:sz w:val="28"/>
          <w:szCs w:val="28"/>
        </w:rPr>
        <w:t>抄送：区委各部门，区人大办，区政协办，区监委，区法院，区检察院，各人民团体。</w:t>
      </w:r>
    </w:p>
    <w:p>
      <w:pPr>
        <w:pBdr>
          <w:bottom w:val="single" w:color="auto" w:sz="6" w:space="1"/>
          <w:between w:val="single" w:color="auto" w:sz="6" w:space="1"/>
        </w:pBdr>
        <w:ind w:firstLine="140" w:firstLineChars="50"/>
        <w:rPr>
          <w:rFonts w:eastAsia="仿宋_GB2312"/>
          <w:sz w:val="28"/>
          <w:szCs w:val="28"/>
        </w:rPr>
      </w:pPr>
      <w:r>
        <w:rPr>
          <w:rFonts w:hAnsi="仿宋_GB2312" w:eastAsia="仿宋_GB2312"/>
          <w:sz w:val="28"/>
          <w:szCs w:val="28"/>
        </w:rPr>
        <w:t>西安市临潼区人民政府办公室</w:t>
      </w:r>
      <w:r>
        <w:rPr>
          <w:rFonts w:eastAsia="仿宋_GB2312"/>
          <w:sz w:val="28"/>
          <w:szCs w:val="28"/>
        </w:rPr>
        <w:t xml:space="preserve">             </w:t>
      </w:r>
      <w:r>
        <w:rPr>
          <w:rFonts w:hint="eastAsia" w:eastAsia="仿宋_GB2312"/>
          <w:sz w:val="28"/>
          <w:szCs w:val="28"/>
        </w:rPr>
        <w:t xml:space="preserve"> </w:t>
      </w:r>
      <w:r>
        <w:rPr>
          <w:rFonts w:eastAsia="仿宋_GB2312"/>
          <w:sz w:val="28"/>
          <w:szCs w:val="28"/>
        </w:rPr>
        <w:t xml:space="preserve"> 2024</w:t>
      </w:r>
      <w:r>
        <w:rPr>
          <w:rFonts w:hAnsi="仿宋_GB2312" w:eastAsia="仿宋_GB2312"/>
          <w:sz w:val="28"/>
          <w:szCs w:val="28"/>
        </w:rPr>
        <w:t>年</w:t>
      </w:r>
      <w:r>
        <w:rPr>
          <w:rFonts w:eastAsia="仿宋_GB2312"/>
          <w:sz w:val="28"/>
          <w:szCs w:val="28"/>
        </w:rPr>
        <w:t>1</w:t>
      </w:r>
      <w:r>
        <w:rPr>
          <w:rFonts w:hAnsi="仿宋_GB2312" w:eastAsia="仿宋_GB2312"/>
          <w:sz w:val="28"/>
          <w:szCs w:val="28"/>
        </w:rPr>
        <w:t>月</w:t>
      </w:r>
      <w:r>
        <w:rPr>
          <w:rFonts w:eastAsia="仿宋_GB2312"/>
          <w:sz w:val="28"/>
          <w:szCs w:val="28"/>
        </w:rPr>
        <w:t>25</w:t>
      </w:r>
      <w:r>
        <w:rPr>
          <w:rFonts w:hAnsi="仿宋_GB2312" w:eastAsia="仿宋_GB2312"/>
          <w:sz w:val="28"/>
          <w:szCs w:val="28"/>
        </w:rPr>
        <w:t>日印发</w:t>
      </w:r>
    </w:p>
    <w:sectPr>
      <w:footerReference r:id="rId5" w:type="default"/>
      <w:footerReference r:id="rId6" w:type="even"/>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A6D1A8-A39A-4967-8C70-83216AF3D56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embedRegular r:id="rId2" w:fontKey="{41C4B791-5F72-4D1D-9A1E-7F64DCD8B0F0}"/>
  </w:font>
  <w:font w:name="FZSSJW--GB1-0">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embedRegular r:id="rId3" w:fontKey="{9B9642B6-E5AF-4F96-84E5-7472D8840CE2}"/>
  </w:font>
  <w:font w:name="方正书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3C99C62C-28EA-42D5-A57E-0A19BBD959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8648159"/>
      <w:docPartObj>
        <w:docPartGallery w:val="AutoText"/>
      </w:docPartObj>
    </w:sdtPr>
    <w:sdtContent>
      <w:p>
        <w:pPr>
          <w:pStyle w:val="6"/>
          <w:jc w:val="center"/>
        </w:pPr>
        <w:r>
          <w:fldChar w:fldCharType="begin"/>
        </w:r>
        <w:r>
          <w:instrText xml:space="preserve"> PAGE   \* MERGEFORMAT </w:instrText>
        </w:r>
        <w:r>
          <w:fldChar w:fldCharType="separate"/>
        </w:r>
        <w:r>
          <w:rPr>
            <w:lang w:val="zh-CN"/>
          </w:rPr>
          <w:t>-</w:t>
        </w:r>
        <w:r>
          <w:t xml:space="preserve"> 43 -</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8648166"/>
      <w:docPartObj>
        <w:docPartGallery w:val="AutoText"/>
      </w:docPartObj>
    </w:sdtPr>
    <w:sdtContent>
      <w:p>
        <w:pPr>
          <w:pStyle w:val="6"/>
          <w:jc w:val="center"/>
        </w:pPr>
        <w:r>
          <w:fldChar w:fldCharType="begin"/>
        </w:r>
        <w:r>
          <w:instrText xml:space="preserve"> PAGE   \* MERGEFORMAT </w:instrText>
        </w:r>
        <w:r>
          <w:fldChar w:fldCharType="separate"/>
        </w:r>
        <w:r>
          <w:rPr>
            <w:lang w:val="zh-CN"/>
          </w:rPr>
          <w:t>-</w:t>
        </w:r>
        <w:r>
          <w:t xml:space="preserve"> 42 -</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 xml:space="preserve">— </w:t>
    </w:r>
    <w:r>
      <w:fldChar w:fldCharType="begin"/>
    </w:r>
    <w:r>
      <w:instrText xml:space="preserve"> PAGE   \* MERGEFORMAT </w:instrText>
    </w:r>
    <w:r>
      <w:fldChar w:fldCharType="separate"/>
    </w:r>
    <w:r>
      <w:rPr>
        <w:lang w:val="zh-CN"/>
      </w:rPr>
      <w:t>44</w:t>
    </w:r>
    <w:r>
      <w:fldChar w:fldCharType="end"/>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fldChar w:fldCharType="begin"/>
    </w:r>
    <w:r>
      <w:instrText xml:space="preserve"> PAGE   \* MERGEFORMAT </w:instrText>
    </w:r>
    <w:r>
      <w:fldChar w:fldCharType="separate"/>
    </w:r>
    <w:r>
      <w:rPr>
        <w:lang w:val="zh-CN"/>
      </w:rPr>
      <w:t>-</w:t>
    </w:r>
    <w:r>
      <w:t xml:space="preserve"> 44 -</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ExMzIxZjg2MWQyZjdlMjM5OWUzODRhYzA0MDVjYWYifQ=="/>
  </w:docVars>
  <w:rsids>
    <w:rsidRoot w:val="003819B8"/>
    <w:rsid w:val="00035001"/>
    <w:rsid w:val="00045F4E"/>
    <w:rsid w:val="00095337"/>
    <w:rsid w:val="000A14D1"/>
    <w:rsid w:val="001151D7"/>
    <w:rsid w:val="001506AD"/>
    <w:rsid w:val="00154F6A"/>
    <w:rsid w:val="00176AF2"/>
    <w:rsid w:val="001905B5"/>
    <w:rsid w:val="002007CF"/>
    <w:rsid w:val="00205114"/>
    <w:rsid w:val="0021502F"/>
    <w:rsid w:val="00256478"/>
    <w:rsid w:val="0026044B"/>
    <w:rsid w:val="002927B8"/>
    <w:rsid w:val="002A2E90"/>
    <w:rsid w:val="002D76ED"/>
    <w:rsid w:val="002F03FF"/>
    <w:rsid w:val="00345A41"/>
    <w:rsid w:val="00360AD7"/>
    <w:rsid w:val="003819B8"/>
    <w:rsid w:val="003825B7"/>
    <w:rsid w:val="00394981"/>
    <w:rsid w:val="003A4FCE"/>
    <w:rsid w:val="003C3982"/>
    <w:rsid w:val="003C4BDE"/>
    <w:rsid w:val="003D2033"/>
    <w:rsid w:val="003D4661"/>
    <w:rsid w:val="003F6983"/>
    <w:rsid w:val="00400099"/>
    <w:rsid w:val="00401FC4"/>
    <w:rsid w:val="004360B8"/>
    <w:rsid w:val="0046382A"/>
    <w:rsid w:val="00463FF6"/>
    <w:rsid w:val="0046418F"/>
    <w:rsid w:val="00485B6A"/>
    <w:rsid w:val="00492D9B"/>
    <w:rsid w:val="004931A3"/>
    <w:rsid w:val="004B0221"/>
    <w:rsid w:val="004C399C"/>
    <w:rsid w:val="004C5F8A"/>
    <w:rsid w:val="004E0BCD"/>
    <w:rsid w:val="004F69EB"/>
    <w:rsid w:val="004F77F7"/>
    <w:rsid w:val="00513EFA"/>
    <w:rsid w:val="0051528D"/>
    <w:rsid w:val="0053426A"/>
    <w:rsid w:val="005778BB"/>
    <w:rsid w:val="005821AE"/>
    <w:rsid w:val="0058486D"/>
    <w:rsid w:val="005848E7"/>
    <w:rsid w:val="0059147A"/>
    <w:rsid w:val="005D4D1D"/>
    <w:rsid w:val="005E32A2"/>
    <w:rsid w:val="005F414C"/>
    <w:rsid w:val="006116DF"/>
    <w:rsid w:val="00666D48"/>
    <w:rsid w:val="0067731D"/>
    <w:rsid w:val="006A1F09"/>
    <w:rsid w:val="006B1C33"/>
    <w:rsid w:val="006D4D99"/>
    <w:rsid w:val="006E03D6"/>
    <w:rsid w:val="00711A6C"/>
    <w:rsid w:val="0072252D"/>
    <w:rsid w:val="00724D01"/>
    <w:rsid w:val="00730B3F"/>
    <w:rsid w:val="00732CE5"/>
    <w:rsid w:val="0075478C"/>
    <w:rsid w:val="00777946"/>
    <w:rsid w:val="007872B4"/>
    <w:rsid w:val="00794FFE"/>
    <w:rsid w:val="0079565D"/>
    <w:rsid w:val="007C67D5"/>
    <w:rsid w:val="00801B86"/>
    <w:rsid w:val="00860146"/>
    <w:rsid w:val="00881395"/>
    <w:rsid w:val="008B0AF3"/>
    <w:rsid w:val="008E2E62"/>
    <w:rsid w:val="0091110E"/>
    <w:rsid w:val="009266AA"/>
    <w:rsid w:val="00933DD1"/>
    <w:rsid w:val="00974B48"/>
    <w:rsid w:val="00986140"/>
    <w:rsid w:val="009A0E60"/>
    <w:rsid w:val="009A0F2E"/>
    <w:rsid w:val="00AC6DE8"/>
    <w:rsid w:val="00AD4297"/>
    <w:rsid w:val="00AE4832"/>
    <w:rsid w:val="00B01AAD"/>
    <w:rsid w:val="00B15840"/>
    <w:rsid w:val="00B21960"/>
    <w:rsid w:val="00B21EB5"/>
    <w:rsid w:val="00B53DE0"/>
    <w:rsid w:val="00B94AA6"/>
    <w:rsid w:val="00BB32F2"/>
    <w:rsid w:val="00BD64F2"/>
    <w:rsid w:val="00C172E7"/>
    <w:rsid w:val="00C34EDA"/>
    <w:rsid w:val="00CB33D7"/>
    <w:rsid w:val="00CB4B02"/>
    <w:rsid w:val="00CD5000"/>
    <w:rsid w:val="00D117FB"/>
    <w:rsid w:val="00D87C90"/>
    <w:rsid w:val="00D906F4"/>
    <w:rsid w:val="00D90E90"/>
    <w:rsid w:val="00D96B60"/>
    <w:rsid w:val="00E11A75"/>
    <w:rsid w:val="00E220AB"/>
    <w:rsid w:val="00E43D59"/>
    <w:rsid w:val="00E44A3C"/>
    <w:rsid w:val="00E54EEA"/>
    <w:rsid w:val="00E81330"/>
    <w:rsid w:val="00E967AE"/>
    <w:rsid w:val="00EA73D1"/>
    <w:rsid w:val="00EB3D2C"/>
    <w:rsid w:val="00EC3DD1"/>
    <w:rsid w:val="00ED21B3"/>
    <w:rsid w:val="00EE19F4"/>
    <w:rsid w:val="00F06389"/>
    <w:rsid w:val="00F153CC"/>
    <w:rsid w:val="00F531B1"/>
    <w:rsid w:val="00F62198"/>
    <w:rsid w:val="00F6748D"/>
    <w:rsid w:val="00F7377A"/>
    <w:rsid w:val="00FC168A"/>
    <w:rsid w:val="00FC4B64"/>
    <w:rsid w:val="00FE7E24"/>
    <w:rsid w:val="0273095E"/>
    <w:rsid w:val="02DC3F04"/>
    <w:rsid w:val="036A1510"/>
    <w:rsid w:val="06231E4A"/>
    <w:rsid w:val="06483518"/>
    <w:rsid w:val="075E138C"/>
    <w:rsid w:val="07B52169"/>
    <w:rsid w:val="08400A92"/>
    <w:rsid w:val="08913342"/>
    <w:rsid w:val="0A917CCA"/>
    <w:rsid w:val="0AF73FD1"/>
    <w:rsid w:val="0B40572A"/>
    <w:rsid w:val="0B422C1A"/>
    <w:rsid w:val="0BE856C8"/>
    <w:rsid w:val="0C386663"/>
    <w:rsid w:val="0C9B59C9"/>
    <w:rsid w:val="0D3D37F2"/>
    <w:rsid w:val="0DA6583B"/>
    <w:rsid w:val="100F2FB8"/>
    <w:rsid w:val="103E7FAD"/>
    <w:rsid w:val="119A56B6"/>
    <w:rsid w:val="119D6F55"/>
    <w:rsid w:val="13E76BAD"/>
    <w:rsid w:val="142D3EF2"/>
    <w:rsid w:val="16B03286"/>
    <w:rsid w:val="16F70EB5"/>
    <w:rsid w:val="17171557"/>
    <w:rsid w:val="176D1177"/>
    <w:rsid w:val="178F2FEA"/>
    <w:rsid w:val="188624F1"/>
    <w:rsid w:val="18BA4824"/>
    <w:rsid w:val="18DE1855"/>
    <w:rsid w:val="19080281"/>
    <w:rsid w:val="1A664550"/>
    <w:rsid w:val="1ABD5F72"/>
    <w:rsid w:val="1B044522"/>
    <w:rsid w:val="1B642891"/>
    <w:rsid w:val="1D9B0210"/>
    <w:rsid w:val="1EB1403F"/>
    <w:rsid w:val="1F046865"/>
    <w:rsid w:val="20711CD8"/>
    <w:rsid w:val="20D55FD7"/>
    <w:rsid w:val="20ED01C9"/>
    <w:rsid w:val="22250FCC"/>
    <w:rsid w:val="23A32805"/>
    <w:rsid w:val="24C543A1"/>
    <w:rsid w:val="2591743A"/>
    <w:rsid w:val="25DA3E7C"/>
    <w:rsid w:val="25F65087"/>
    <w:rsid w:val="27472EB3"/>
    <w:rsid w:val="27C2106B"/>
    <w:rsid w:val="287012F8"/>
    <w:rsid w:val="2A574170"/>
    <w:rsid w:val="2ABA3B28"/>
    <w:rsid w:val="2B2F4C6A"/>
    <w:rsid w:val="2B7E34FB"/>
    <w:rsid w:val="2D3703E5"/>
    <w:rsid w:val="2DB818D1"/>
    <w:rsid w:val="2E690493"/>
    <w:rsid w:val="2E7A444E"/>
    <w:rsid w:val="2E964B56"/>
    <w:rsid w:val="2EEB230C"/>
    <w:rsid w:val="2EF71869"/>
    <w:rsid w:val="2F2B399A"/>
    <w:rsid w:val="2F6F1AD9"/>
    <w:rsid w:val="2FE029D7"/>
    <w:rsid w:val="303E1F99"/>
    <w:rsid w:val="305F0288"/>
    <w:rsid w:val="319B76CD"/>
    <w:rsid w:val="323922EC"/>
    <w:rsid w:val="326E7E26"/>
    <w:rsid w:val="3365567C"/>
    <w:rsid w:val="344C7CA7"/>
    <w:rsid w:val="3460412E"/>
    <w:rsid w:val="355C665B"/>
    <w:rsid w:val="365111CC"/>
    <w:rsid w:val="378B123B"/>
    <w:rsid w:val="382A2A41"/>
    <w:rsid w:val="3B2319C9"/>
    <w:rsid w:val="3BCC3E0F"/>
    <w:rsid w:val="3D0F302C"/>
    <w:rsid w:val="3D7B789B"/>
    <w:rsid w:val="3E733409"/>
    <w:rsid w:val="3EED47C8"/>
    <w:rsid w:val="3F1019F8"/>
    <w:rsid w:val="408E73B5"/>
    <w:rsid w:val="42A67946"/>
    <w:rsid w:val="447C2876"/>
    <w:rsid w:val="44C85ABB"/>
    <w:rsid w:val="46603AD2"/>
    <w:rsid w:val="46AF05B5"/>
    <w:rsid w:val="47170634"/>
    <w:rsid w:val="47FE17F4"/>
    <w:rsid w:val="4890089C"/>
    <w:rsid w:val="49044B91"/>
    <w:rsid w:val="49D337A0"/>
    <w:rsid w:val="4B885FA4"/>
    <w:rsid w:val="4BC36A07"/>
    <w:rsid w:val="4C7E4CB1"/>
    <w:rsid w:val="4DD23507"/>
    <w:rsid w:val="4E2D4BE1"/>
    <w:rsid w:val="50744D49"/>
    <w:rsid w:val="544B5DC1"/>
    <w:rsid w:val="54E052F5"/>
    <w:rsid w:val="58044C05"/>
    <w:rsid w:val="59527BF2"/>
    <w:rsid w:val="599C0E6D"/>
    <w:rsid w:val="5A706581"/>
    <w:rsid w:val="5B0311A3"/>
    <w:rsid w:val="5BD237B0"/>
    <w:rsid w:val="5CDD3C76"/>
    <w:rsid w:val="5D055E2A"/>
    <w:rsid w:val="5D665B8A"/>
    <w:rsid w:val="5EF77271"/>
    <w:rsid w:val="60F63558"/>
    <w:rsid w:val="62E50DCD"/>
    <w:rsid w:val="644B5969"/>
    <w:rsid w:val="65DB613D"/>
    <w:rsid w:val="66A82BFF"/>
    <w:rsid w:val="6B5E119C"/>
    <w:rsid w:val="6B712CDD"/>
    <w:rsid w:val="6C0E5BFA"/>
    <w:rsid w:val="6C111E83"/>
    <w:rsid w:val="6C7553FD"/>
    <w:rsid w:val="6CF73C2F"/>
    <w:rsid w:val="6D7B0D9A"/>
    <w:rsid w:val="6DC42A14"/>
    <w:rsid w:val="6E112B79"/>
    <w:rsid w:val="6EB330EB"/>
    <w:rsid w:val="70840239"/>
    <w:rsid w:val="71BB7EAA"/>
    <w:rsid w:val="72A050D2"/>
    <w:rsid w:val="73970283"/>
    <w:rsid w:val="76BC3479"/>
    <w:rsid w:val="77925931"/>
    <w:rsid w:val="788210E3"/>
    <w:rsid w:val="78913A00"/>
    <w:rsid w:val="79234497"/>
    <w:rsid w:val="7C5C3201"/>
    <w:rsid w:val="7CD97E98"/>
    <w:rsid w:val="7D9D6DDE"/>
    <w:rsid w:val="7FF610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1">
    <w:name w:val="Default Paragraph Font"/>
    <w:autoRedefine/>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880" w:firstLineChars="200"/>
    </w:pPr>
  </w:style>
  <w:style w:type="paragraph" w:styleId="3">
    <w:name w:val="Body Text"/>
    <w:basedOn w:val="1"/>
    <w:link w:val="12"/>
    <w:autoRedefine/>
    <w:qFormat/>
    <w:uiPriority w:val="0"/>
    <w:rPr>
      <w:rFonts w:ascii="Calibri" w:hAnsi="Calibri" w:eastAsia="方正仿宋简体"/>
      <w:sz w:val="32"/>
      <w:szCs w:val="32"/>
    </w:rPr>
  </w:style>
  <w:style w:type="paragraph" w:styleId="4">
    <w:name w:val="Plain Text"/>
    <w:basedOn w:val="1"/>
    <w:link w:val="13"/>
    <w:autoRedefine/>
    <w:qFormat/>
    <w:uiPriority w:val="0"/>
    <w:rPr>
      <w:rFonts w:ascii="宋体" w:hAnsi="Courier New" w:cs="Courier New"/>
    </w:rPr>
  </w:style>
  <w:style w:type="paragraph" w:styleId="5">
    <w:name w:val="Balloon Text"/>
    <w:basedOn w:val="1"/>
    <w:link w:val="19"/>
    <w:autoRedefine/>
    <w:semiHidden/>
    <w:unhideWhenUsed/>
    <w:qFormat/>
    <w:uiPriority w:val="99"/>
    <w:rPr>
      <w:sz w:val="18"/>
      <w:szCs w:val="18"/>
    </w:rPr>
  </w:style>
  <w:style w:type="paragraph" w:styleId="6">
    <w:name w:val="footer"/>
    <w:basedOn w:val="1"/>
    <w:link w:val="14"/>
    <w:autoRedefine/>
    <w:qFormat/>
    <w:uiPriority w:val="99"/>
    <w:pPr>
      <w:tabs>
        <w:tab w:val="center" w:pos="4153"/>
        <w:tab w:val="right" w:pos="8306"/>
      </w:tabs>
      <w:snapToGrid w:val="0"/>
      <w:ind w:right="90"/>
    </w:pPr>
    <w:rPr>
      <w:rFonts w:asciiTheme="minorEastAsia" w:hAnsiTheme="minorEastAsia" w:eastAsiaTheme="minorEastAsia"/>
      <w:sz w:val="28"/>
      <w:szCs w:val="28"/>
    </w:rPr>
  </w:style>
  <w:style w:type="paragraph" w:styleId="7">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jc w:val="left"/>
    </w:pPr>
    <w:rPr>
      <w:rFonts w:ascii="Calibri" w:hAnsi="Calibri"/>
      <w:kern w:val="0"/>
      <w:sz w:val="24"/>
      <w:szCs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正文文本 Char"/>
    <w:basedOn w:val="11"/>
    <w:link w:val="3"/>
    <w:autoRedefine/>
    <w:qFormat/>
    <w:uiPriority w:val="0"/>
    <w:rPr>
      <w:rFonts w:ascii="Calibri" w:hAnsi="Calibri" w:eastAsia="方正仿宋简体" w:cs="Times New Roman"/>
      <w:sz w:val="32"/>
      <w:szCs w:val="32"/>
    </w:rPr>
  </w:style>
  <w:style w:type="character" w:customStyle="1" w:styleId="13">
    <w:name w:val="纯文本 Char"/>
    <w:basedOn w:val="11"/>
    <w:link w:val="4"/>
    <w:autoRedefine/>
    <w:qFormat/>
    <w:uiPriority w:val="0"/>
    <w:rPr>
      <w:rFonts w:ascii="宋体" w:hAnsi="Courier New" w:eastAsia="宋体" w:cs="Courier New"/>
      <w:szCs w:val="21"/>
    </w:rPr>
  </w:style>
  <w:style w:type="character" w:customStyle="1" w:styleId="14">
    <w:name w:val="页脚 Char"/>
    <w:basedOn w:val="11"/>
    <w:link w:val="6"/>
    <w:autoRedefine/>
    <w:qFormat/>
    <w:uiPriority w:val="99"/>
    <w:rPr>
      <w:rFonts w:asciiTheme="minorEastAsia" w:hAnsiTheme="minorEastAsia" w:eastAsiaTheme="minorEastAsia"/>
      <w:kern w:val="2"/>
      <w:sz w:val="28"/>
      <w:szCs w:val="28"/>
    </w:rPr>
  </w:style>
  <w:style w:type="character" w:customStyle="1" w:styleId="15">
    <w:name w:val="页眉 Char"/>
    <w:basedOn w:val="11"/>
    <w:link w:val="7"/>
    <w:autoRedefine/>
    <w:qFormat/>
    <w:uiPriority w:val="0"/>
    <w:rPr>
      <w:rFonts w:ascii="Times New Roman" w:hAnsi="Times New Roman" w:eastAsia="宋体" w:cs="Times New Roman"/>
      <w:sz w:val="18"/>
      <w:szCs w:val="18"/>
    </w:rPr>
  </w:style>
  <w:style w:type="character" w:customStyle="1" w:styleId="16">
    <w:name w:val="15"/>
    <w:autoRedefine/>
    <w:qFormat/>
    <w:uiPriority w:val="0"/>
    <w:rPr>
      <w:rFonts w:hint="eastAsia" w:ascii="仿宋_GB2312" w:eastAsia="仿宋_GB2312"/>
      <w:color w:val="000000"/>
      <w:sz w:val="20"/>
      <w:szCs w:val="20"/>
      <w:u w:val="single"/>
    </w:rPr>
  </w:style>
  <w:style w:type="character" w:customStyle="1" w:styleId="17">
    <w:name w:val="font41"/>
    <w:autoRedefine/>
    <w:qFormat/>
    <w:uiPriority w:val="0"/>
    <w:rPr>
      <w:rFonts w:hint="eastAsia" w:ascii="仿宋_GB2312" w:eastAsia="仿宋_GB2312" w:cs="仿宋_GB2312"/>
      <w:color w:val="000000"/>
      <w:sz w:val="20"/>
      <w:szCs w:val="20"/>
      <w:u w:val="single"/>
    </w:rPr>
  </w:style>
  <w:style w:type="character" w:customStyle="1" w:styleId="18">
    <w:name w:val="fontstyle01"/>
    <w:basedOn w:val="11"/>
    <w:autoRedefine/>
    <w:qFormat/>
    <w:uiPriority w:val="0"/>
    <w:rPr>
      <w:rFonts w:hint="default" w:ascii="FZSSJW--GB1-0" w:hAnsi="FZSSJW--GB1-0"/>
      <w:color w:val="000000"/>
      <w:sz w:val="22"/>
      <w:szCs w:val="22"/>
    </w:rPr>
  </w:style>
  <w:style w:type="character" w:customStyle="1" w:styleId="19">
    <w:name w:val="批注框文本 Char"/>
    <w:basedOn w:val="11"/>
    <w:link w:val="5"/>
    <w:autoRedefine/>
    <w:semiHidden/>
    <w:qFormat/>
    <w:uiPriority w:val="99"/>
    <w:rPr>
      <w:rFonts w:ascii="Times New Roman" w:hAnsi="Times New Roman" w:eastAsia="宋体" w:cs="Times New Roman"/>
      <w:sz w:val="18"/>
      <w:szCs w:val="18"/>
    </w:rPr>
  </w:style>
  <w:style w:type="character" w:customStyle="1" w:styleId="20">
    <w:name w:val="NormalCharacter"/>
    <w:autoRedefine/>
    <w:qFormat/>
    <w:uiPriority w:val="0"/>
  </w:style>
  <w:style w:type="paragraph" w:customStyle="1" w:styleId="21">
    <w:name w:val="Body Text 21"/>
    <w:basedOn w:val="1"/>
    <w:autoRedefine/>
    <w:qFormat/>
    <w:uiPriority w:val="0"/>
    <w:pPr>
      <w:spacing w:after="120" w:line="480" w:lineRule="auto"/>
    </w:pPr>
    <w:rPr>
      <w:rFonts w:ascii="Calibri" w:hAnsi="Calibri" w:eastAsia="仿宋_GB231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44</Pages>
  <Words>3870</Words>
  <Characters>22061</Characters>
  <Lines>183</Lines>
  <Paragraphs>51</Paragraphs>
  <TotalTime>20</TotalTime>
  <ScaleCrop>false</ScaleCrop>
  <LinksUpToDate>false</LinksUpToDate>
  <CharactersWithSpaces>25880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2023-11-27T02:17:00Z</dcterms:created>
  <dc:creator>Windows User</dc:creator>
  <cp:lastModifiedBy>。。</cp:lastModifiedBy>
  <cp:lastPrinted>2024-01-18T06:28:00Z</cp:lastPrinted>
  <dcterms:modified xsi:type="dcterms:W3CDTF">2024-02-26T09:38:51Z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060876E3DE5F419E8F5E75BD295E431A_12</vt:lpwstr>
  </property>
</Properties>
</file>