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eastAsia="方正小标宋简体"/>
          <w:sz w:val="44"/>
          <w:szCs w:val="44"/>
        </w:rPr>
      </w:pPr>
      <w:r>
        <w:rPr>
          <w:rFonts w:eastAsia="方正小标宋简体"/>
          <w:sz w:val="44"/>
          <w:szCs w:val="44"/>
        </w:rPr>
        <w:t>西安市临潼区城市社区嵌入式服务设施建设</w:t>
      </w:r>
    </w:p>
    <w:p>
      <w:pPr>
        <w:spacing w:line="600" w:lineRule="exact"/>
        <w:jc w:val="center"/>
        <w:rPr>
          <w:rFonts w:eastAsia="方正小标宋简体"/>
          <w:sz w:val="44"/>
          <w:szCs w:val="44"/>
        </w:rPr>
      </w:pPr>
      <w:r>
        <w:rPr>
          <w:rFonts w:eastAsia="方正小标宋简体"/>
          <w:sz w:val="44"/>
          <w:szCs w:val="44"/>
        </w:rPr>
        <w:t>工程实施方案</w:t>
      </w:r>
    </w:p>
    <w:p>
      <w:pPr>
        <w:spacing w:line="600" w:lineRule="exact"/>
        <w:jc w:val="center"/>
      </w:pPr>
    </w:p>
    <w:p>
      <w:pPr>
        <w:spacing w:line="600" w:lineRule="exact"/>
        <w:ind w:firstLine="640" w:firstLineChars="200"/>
        <w:rPr>
          <w:rFonts w:eastAsia="仿宋_GB2312"/>
          <w:szCs w:val="32"/>
        </w:rPr>
      </w:pPr>
      <w:r>
        <w:rPr>
          <w:rFonts w:eastAsia="仿宋_GB2312"/>
          <w:szCs w:val="32"/>
        </w:rPr>
        <w:t>为深入贯彻落实国务院办公厅关于转发国家发展改革委《城市社区嵌入式服务设施建设工程实施方案》（国办函〔2023〕121号）、西安市人民政府办公厅印发的《城市社区嵌入式服务设施建设工程实施方案》（市政办函〔2024〕19 号）的通知精神，进一步推动养老托育、社区助餐、家政便民、健康服务、体育健身、文化休闲、儿童游憩等优质普惠公共服务下基层、进社区，更好满足人民群众对美好生活的向往，按照区委区政府《2024年全</w:t>
      </w:r>
      <w:r>
        <w:rPr>
          <w:rFonts w:hint="eastAsia" w:eastAsia="仿宋_GB2312"/>
          <w:szCs w:val="32"/>
        </w:rPr>
        <w:t>区“</w:t>
      </w:r>
      <w:r>
        <w:rPr>
          <w:rFonts w:eastAsia="仿宋_GB2312"/>
          <w:szCs w:val="32"/>
        </w:rPr>
        <w:t>八个新突破</w:t>
      </w:r>
      <w:r>
        <w:rPr>
          <w:rFonts w:hint="eastAsia" w:eastAsia="仿宋_GB2312"/>
          <w:szCs w:val="32"/>
        </w:rPr>
        <w:t>”</w:t>
      </w:r>
      <w:r>
        <w:rPr>
          <w:rFonts w:eastAsia="仿宋_GB2312"/>
          <w:szCs w:val="32"/>
        </w:rPr>
        <w:t>实施方案》和</w:t>
      </w:r>
      <w:r>
        <w:rPr>
          <w:rFonts w:hint="eastAsia" w:eastAsia="仿宋_GB2312"/>
          <w:szCs w:val="32"/>
        </w:rPr>
        <w:t>《政府工作报告》惠民实施方案</w:t>
      </w:r>
      <w:r>
        <w:rPr>
          <w:rFonts w:eastAsia="仿宋_GB2312"/>
          <w:szCs w:val="32"/>
        </w:rPr>
        <w:t>工作要求，结合我区实际，制定本方案。</w:t>
      </w:r>
    </w:p>
    <w:p>
      <w:pPr>
        <w:spacing w:line="600" w:lineRule="exact"/>
        <w:ind w:firstLine="640" w:firstLineChars="200"/>
        <w:rPr>
          <w:szCs w:val="32"/>
        </w:rPr>
      </w:pPr>
      <w:r>
        <w:rPr>
          <w:szCs w:val="32"/>
        </w:rPr>
        <w:t>一、建设原则</w:t>
      </w:r>
    </w:p>
    <w:p>
      <w:pPr>
        <w:spacing w:line="600" w:lineRule="exact"/>
        <w:ind w:firstLine="640" w:firstLineChars="200"/>
        <w:rPr>
          <w:rFonts w:eastAsia="仿宋_GB2312"/>
          <w:snapToGrid w:val="0"/>
          <w:kern w:val="0"/>
          <w:szCs w:val="32"/>
        </w:rPr>
      </w:pPr>
      <w:r>
        <w:rPr>
          <w:rFonts w:eastAsia="仿宋_GB2312"/>
          <w:snapToGrid w:val="0"/>
          <w:kern w:val="0"/>
          <w:szCs w:val="32"/>
        </w:rPr>
        <w:t>以习近平新时代中国特色社会主义思想为指导，坚持以人民为中心的发展思想，聚焦创造高品质生活，推动城市公共服务设施有机嵌入社区、公共服务项目延伸覆盖社区。围绕社区居民实际需求，以务实、可及为导向，增加社区服务有效供给，补齐设施短板，创新运营模式，打造一批设施完善、安全健康、运营有序的社区嵌入式服务样板，努力把社区建设成为人民群众的幸福家园。</w:t>
      </w:r>
    </w:p>
    <w:p>
      <w:pPr>
        <w:spacing w:line="600" w:lineRule="exact"/>
        <w:ind w:firstLine="640" w:firstLineChars="200"/>
        <w:rPr>
          <w:rFonts w:eastAsia="仿宋_GB2312"/>
          <w:snapToGrid w:val="0"/>
          <w:kern w:val="0"/>
          <w:szCs w:val="32"/>
        </w:rPr>
      </w:pPr>
      <w:r>
        <w:rPr>
          <w:rFonts w:eastAsia="楷体_GB2312"/>
          <w:snapToGrid w:val="0"/>
          <w:kern w:val="0"/>
          <w:szCs w:val="32"/>
        </w:rPr>
        <w:t>（一）聚焦重点，功能优先。</w:t>
      </w:r>
      <w:r>
        <w:rPr>
          <w:rFonts w:eastAsia="仿宋_GB2312"/>
          <w:snapToGrid w:val="0"/>
          <w:kern w:val="0"/>
          <w:szCs w:val="32"/>
        </w:rPr>
        <w:t>社区嵌入式服务设施面向社区居民提供养老服务、婴幼儿托育、儿童托管、社区助餐、家政便民、健康服务、体育健身、文化休闲和儿童游憩9项功能，</w:t>
      </w:r>
      <w:r>
        <w:rPr>
          <w:rFonts w:eastAsia="仿宋_GB2312"/>
          <w:szCs w:val="32"/>
        </w:rPr>
        <w:t>聚焦</w:t>
      </w:r>
      <w:r>
        <w:rPr>
          <w:rFonts w:hint="eastAsia" w:eastAsia="仿宋_GB2312"/>
          <w:szCs w:val="32"/>
        </w:rPr>
        <w:t>“</w:t>
      </w:r>
      <w:r>
        <w:rPr>
          <w:rFonts w:eastAsia="仿宋_GB2312"/>
          <w:szCs w:val="32"/>
        </w:rPr>
        <w:t>一老一小</w:t>
      </w:r>
      <w:r>
        <w:rPr>
          <w:rFonts w:hint="eastAsia" w:eastAsia="仿宋_GB2312"/>
          <w:szCs w:val="32"/>
        </w:rPr>
        <w:t>”</w:t>
      </w:r>
      <w:r>
        <w:rPr>
          <w:rFonts w:eastAsia="仿宋_GB2312"/>
          <w:szCs w:val="32"/>
        </w:rPr>
        <w:t>服务需求，优先和重点提供养老托育等急需紧缺服务，</w:t>
      </w:r>
      <w:r>
        <w:rPr>
          <w:rFonts w:eastAsia="仿宋_GB2312"/>
          <w:snapToGrid w:val="0"/>
          <w:kern w:val="0"/>
          <w:szCs w:val="32"/>
        </w:rPr>
        <w:t>逐步补齐和拓展其他服务。</w:t>
      </w:r>
    </w:p>
    <w:p>
      <w:pPr>
        <w:spacing w:line="600" w:lineRule="exact"/>
        <w:ind w:firstLine="640" w:firstLineChars="200"/>
        <w:rPr>
          <w:rFonts w:eastAsia="仿宋_GB2312"/>
          <w:snapToGrid w:val="0"/>
          <w:kern w:val="0"/>
          <w:szCs w:val="32"/>
        </w:rPr>
      </w:pPr>
      <w:r>
        <w:rPr>
          <w:rFonts w:eastAsia="楷体_GB2312"/>
          <w:snapToGrid w:val="0"/>
          <w:kern w:val="0"/>
          <w:szCs w:val="32"/>
        </w:rPr>
        <w:t>（二）系统谋划，试点引领。</w:t>
      </w:r>
      <w:r>
        <w:rPr>
          <w:rFonts w:eastAsia="仿宋_GB2312"/>
          <w:snapToGrid w:val="0"/>
          <w:kern w:val="0"/>
          <w:szCs w:val="32"/>
        </w:rPr>
        <w:t>立足区域、社区发展实际，在充分调研现状、摸清服务需求、广泛征求居民意见的基础上，整体</w:t>
      </w:r>
      <w:r>
        <w:rPr>
          <w:rFonts w:eastAsia="仿宋_GB2312"/>
          <w:szCs w:val="32"/>
        </w:rPr>
        <w:t>谋划布局，以社区为单元推进，优先盘活利用存量资源</w:t>
      </w:r>
      <w:r>
        <w:rPr>
          <w:rFonts w:eastAsia="仿宋_GB2312"/>
          <w:snapToGrid w:val="0"/>
          <w:kern w:val="0"/>
          <w:szCs w:val="32"/>
        </w:rPr>
        <w:t>。积极开展试点项目建设，打造一批功能相对齐全的社区嵌入式服务综合设施，实现居民在</w:t>
      </w:r>
      <w:r>
        <w:rPr>
          <w:rFonts w:hint="eastAsia" w:eastAsia="仿宋_GB2312"/>
          <w:snapToGrid w:val="0"/>
          <w:kern w:val="0"/>
          <w:szCs w:val="32"/>
        </w:rPr>
        <w:t>“</w:t>
      </w:r>
      <w:r>
        <w:rPr>
          <w:rFonts w:eastAsia="仿宋_GB2312"/>
          <w:snapToGrid w:val="0"/>
          <w:kern w:val="0"/>
          <w:szCs w:val="32"/>
        </w:rPr>
        <w:t>家门口</w:t>
      </w:r>
      <w:r>
        <w:rPr>
          <w:rFonts w:hint="eastAsia" w:eastAsia="仿宋_GB2312"/>
          <w:snapToGrid w:val="0"/>
          <w:kern w:val="0"/>
          <w:szCs w:val="32"/>
        </w:rPr>
        <w:t>”“</w:t>
      </w:r>
      <w:r>
        <w:rPr>
          <w:rFonts w:eastAsia="仿宋_GB2312"/>
          <w:snapToGrid w:val="0"/>
          <w:kern w:val="0"/>
          <w:szCs w:val="32"/>
        </w:rPr>
        <w:t>楼底下</w:t>
      </w:r>
      <w:r>
        <w:rPr>
          <w:rFonts w:hint="eastAsia" w:eastAsia="仿宋_GB2312"/>
          <w:snapToGrid w:val="0"/>
          <w:kern w:val="0"/>
          <w:szCs w:val="32"/>
        </w:rPr>
        <w:t>”</w:t>
      </w:r>
      <w:r>
        <w:rPr>
          <w:rFonts w:eastAsia="仿宋_GB2312"/>
          <w:snapToGrid w:val="0"/>
          <w:kern w:val="0"/>
          <w:szCs w:val="32"/>
        </w:rPr>
        <w:t>享受就近就便服务。</w:t>
      </w:r>
    </w:p>
    <w:p>
      <w:pPr>
        <w:pStyle w:val="4"/>
        <w:spacing w:line="600" w:lineRule="exact"/>
        <w:ind w:firstLine="640"/>
        <w:rPr>
          <w:rFonts w:ascii="Times New Roman" w:hAnsi="Times New Roman"/>
          <w:snapToGrid w:val="0"/>
          <w:kern w:val="0"/>
          <w:szCs w:val="32"/>
        </w:rPr>
      </w:pPr>
      <w:r>
        <w:rPr>
          <w:rFonts w:ascii="Times New Roman" w:hAnsi="Times New Roman" w:eastAsia="楷体_GB2312"/>
          <w:snapToGrid w:val="0"/>
          <w:kern w:val="0"/>
          <w:szCs w:val="32"/>
        </w:rPr>
        <w:t>（三）因地制宜，持续推进。</w:t>
      </w:r>
      <w:r>
        <w:rPr>
          <w:rFonts w:ascii="Times New Roman" w:hAnsi="Times New Roman" w:eastAsia="仿宋_GB2312"/>
          <w:snapToGrid w:val="0"/>
          <w:kern w:val="0"/>
          <w:szCs w:val="32"/>
        </w:rPr>
        <w:t>坚持分类施策、精准施策、宜建则建、宜改则改，最大限度整合利用好存量资源，实现功能可拓展、空间可转换、标准能兼容。采取综合体优先和</w:t>
      </w:r>
      <w:r>
        <w:rPr>
          <w:rFonts w:hint="eastAsia" w:ascii="Times New Roman" w:hAnsi="Times New Roman" w:eastAsia="仿宋_GB2312"/>
          <w:snapToGrid w:val="0"/>
          <w:kern w:val="0"/>
          <w:szCs w:val="32"/>
        </w:rPr>
        <w:t>“</w:t>
      </w:r>
      <w:r>
        <w:rPr>
          <w:rFonts w:ascii="Times New Roman" w:hAnsi="Times New Roman" w:eastAsia="仿宋_GB2312"/>
          <w:snapToGrid w:val="0"/>
          <w:kern w:val="0"/>
          <w:szCs w:val="32"/>
        </w:rPr>
        <w:t>插花</w:t>
      </w:r>
      <w:r>
        <w:rPr>
          <w:rFonts w:hint="eastAsia" w:ascii="Times New Roman" w:hAnsi="Times New Roman" w:eastAsia="仿宋_GB2312"/>
          <w:snapToGrid w:val="0"/>
          <w:kern w:val="0"/>
          <w:szCs w:val="32"/>
        </w:rPr>
        <w:t>”</w:t>
      </w:r>
      <w:r>
        <w:rPr>
          <w:rFonts w:ascii="Times New Roman" w:hAnsi="Times New Roman" w:eastAsia="仿宋_GB2312"/>
          <w:snapToGrid w:val="0"/>
          <w:kern w:val="0"/>
          <w:szCs w:val="32"/>
        </w:rPr>
        <w:t>式相结合的方式，积极开展社区嵌入式服务设施建设试点。稳步推进非试点社区设施建设，持续提升服务水平。</w:t>
      </w:r>
    </w:p>
    <w:p>
      <w:pPr>
        <w:spacing w:line="600" w:lineRule="exact"/>
        <w:ind w:firstLine="640" w:firstLineChars="200"/>
        <w:rPr>
          <w:snapToGrid w:val="0"/>
          <w:kern w:val="0"/>
          <w:szCs w:val="32"/>
        </w:rPr>
      </w:pPr>
      <w:r>
        <w:rPr>
          <w:rFonts w:eastAsia="楷体_GB2312"/>
          <w:snapToGrid w:val="0"/>
          <w:kern w:val="0"/>
          <w:szCs w:val="32"/>
        </w:rPr>
        <w:t>（四）多元参与、公益普惠。</w:t>
      </w:r>
      <w:r>
        <w:rPr>
          <w:rFonts w:eastAsia="仿宋_GB2312"/>
          <w:snapToGrid w:val="0"/>
          <w:kern w:val="0"/>
          <w:szCs w:val="32"/>
        </w:rPr>
        <w:t>建立政府主导、社会参与、市场协同工作机制，注重发挥市场主体作用，整合链接企事业单位、社会组织、社会工作者、社区志愿者、社会慈善资源等多方力量，形成共建共治共享的发展格局。探索构建可持续的建设运营模式，坚持规模适度、经济适用、服务高效，落实降成本运营，突出准公益属性，</w:t>
      </w:r>
      <w:r>
        <w:rPr>
          <w:rFonts w:eastAsia="仿宋_GB2312"/>
          <w:szCs w:val="32"/>
        </w:rPr>
        <w:t>确保设施便捷可及</w:t>
      </w:r>
      <w:r>
        <w:rPr>
          <w:rFonts w:eastAsia="仿宋_GB2312"/>
          <w:snapToGrid w:val="0"/>
          <w:kern w:val="0"/>
          <w:szCs w:val="32"/>
        </w:rPr>
        <w:t>、价格可承受、质量有保障。</w:t>
      </w:r>
    </w:p>
    <w:p>
      <w:pPr>
        <w:spacing w:line="600" w:lineRule="exact"/>
        <w:ind w:firstLine="640" w:firstLineChars="200"/>
        <w:rPr>
          <w:rFonts w:eastAsia="仿宋_GB2312"/>
          <w:snapToGrid w:val="0"/>
          <w:kern w:val="0"/>
          <w:szCs w:val="32"/>
        </w:rPr>
      </w:pPr>
      <w:r>
        <w:rPr>
          <w:rFonts w:eastAsia="楷体_GB2312"/>
          <w:snapToGrid w:val="0"/>
          <w:kern w:val="0"/>
          <w:szCs w:val="32"/>
        </w:rPr>
        <w:t>（五）安全可靠，群众满意。</w:t>
      </w:r>
      <w:r>
        <w:rPr>
          <w:rFonts w:eastAsia="仿宋_GB2312"/>
        </w:rPr>
        <w:t>坚持底线思维</w:t>
      </w:r>
      <w:r>
        <w:rPr>
          <w:rFonts w:eastAsia="仿宋_GB2312"/>
          <w:snapToGrid w:val="0"/>
          <w:kern w:val="0"/>
          <w:szCs w:val="32"/>
        </w:rPr>
        <w:t>，在建筑质量、设施配备、服务运营等各个阶段严格落实安全要求，打造称心安心放心的社区服务。始终把群众满意度作为衡量社区嵌入式服务设施建设运营的第一标尺，建则快、建则成、建则好，把社区嵌入式服务设施建设工程作为社会治理的重要抓手，打造</w:t>
      </w:r>
      <w:r>
        <w:rPr>
          <w:rFonts w:hint="eastAsia" w:eastAsia="仿宋_GB2312"/>
          <w:snapToGrid w:val="0"/>
          <w:kern w:val="0"/>
          <w:szCs w:val="32"/>
        </w:rPr>
        <w:t>“</w:t>
      </w:r>
      <w:r>
        <w:rPr>
          <w:rFonts w:eastAsia="仿宋_GB2312"/>
          <w:snapToGrid w:val="0"/>
          <w:kern w:val="0"/>
          <w:szCs w:val="32"/>
        </w:rPr>
        <w:t>小而美</w:t>
      </w:r>
      <w:r>
        <w:rPr>
          <w:rFonts w:hint="eastAsia" w:eastAsia="仿宋_GB2312"/>
          <w:snapToGrid w:val="0"/>
          <w:kern w:val="0"/>
          <w:szCs w:val="32"/>
        </w:rPr>
        <w:t>”</w:t>
      </w:r>
      <w:r>
        <w:rPr>
          <w:rFonts w:eastAsia="仿宋_GB2312"/>
          <w:snapToGrid w:val="0"/>
          <w:kern w:val="0"/>
          <w:szCs w:val="32"/>
        </w:rPr>
        <w:t>的民生工程。</w:t>
      </w:r>
    </w:p>
    <w:p>
      <w:pPr>
        <w:spacing w:line="600" w:lineRule="exact"/>
        <w:ind w:firstLine="640" w:firstLineChars="200"/>
        <w:rPr>
          <w:szCs w:val="32"/>
        </w:rPr>
      </w:pPr>
      <w:r>
        <w:rPr>
          <w:szCs w:val="32"/>
        </w:rPr>
        <w:t>二、目标任务</w:t>
      </w:r>
    </w:p>
    <w:p>
      <w:pPr>
        <w:spacing w:line="600" w:lineRule="exact"/>
        <w:ind w:firstLine="640" w:firstLineChars="200"/>
        <w:rPr>
          <w:rFonts w:eastAsia="仿宋_GB2312"/>
          <w:snapToGrid w:val="0"/>
          <w:kern w:val="0"/>
          <w:szCs w:val="32"/>
        </w:rPr>
      </w:pPr>
      <w:r>
        <w:rPr>
          <w:rFonts w:eastAsia="楷体_GB2312"/>
          <w:szCs w:val="32"/>
        </w:rPr>
        <w:t>（一）完成试点项目建设。</w:t>
      </w:r>
      <w:r>
        <w:rPr>
          <w:rFonts w:eastAsia="仿宋_GB2312"/>
          <w:snapToGrid w:val="0"/>
          <w:kern w:val="0"/>
          <w:szCs w:val="32"/>
        </w:rPr>
        <w:t>在全区遴选4个试点项目，以社区为单元建设推进，分三年组织实施。</w:t>
      </w:r>
    </w:p>
    <w:p>
      <w:pPr>
        <w:spacing w:line="600" w:lineRule="exact"/>
        <w:ind w:firstLine="640" w:firstLineChars="200"/>
        <w:rPr>
          <w:rFonts w:eastAsia="仿宋_GB2312"/>
          <w:snapToGrid w:val="0"/>
          <w:kern w:val="0"/>
          <w:szCs w:val="32"/>
        </w:rPr>
      </w:pPr>
      <w:r>
        <w:rPr>
          <w:rFonts w:eastAsia="仿宋_GB2312"/>
          <w:snapToGrid w:val="0"/>
          <w:kern w:val="0"/>
          <w:szCs w:val="32"/>
        </w:rPr>
        <w:t>2024年，全面启动4个试点项目，制定《西安市临潼区社区嵌入式服务设施建设</w:t>
      </w:r>
      <w:r>
        <w:rPr>
          <w:rFonts w:hint="eastAsia" w:eastAsia="仿宋_GB2312"/>
          <w:snapToGrid w:val="0"/>
          <w:kern w:val="0"/>
          <w:szCs w:val="32"/>
        </w:rPr>
        <w:t>工程</w:t>
      </w:r>
      <w:r>
        <w:rPr>
          <w:rFonts w:eastAsia="仿宋_GB2312"/>
          <w:snapToGrid w:val="0"/>
          <w:kern w:val="0"/>
          <w:szCs w:val="32"/>
        </w:rPr>
        <w:t>实施方案》，初步形成社区嵌入式服务设施建设政策、标准体系。完成秦陵街道秦陵社区1个试点项目建设任务，具备运营条件，探索积累经验，逐步推广。</w:t>
      </w:r>
    </w:p>
    <w:p>
      <w:pPr>
        <w:spacing w:line="600" w:lineRule="exact"/>
        <w:ind w:firstLine="640" w:firstLineChars="200"/>
        <w:rPr>
          <w:rFonts w:eastAsia="仿宋_GB2312"/>
          <w:snapToGrid w:val="0"/>
          <w:kern w:val="0"/>
          <w:szCs w:val="32"/>
        </w:rPr>
      </w:pPr>
      <w:r>
        <w:rPr>
          <w:rFonts w:eastAsia="仿宋_GB2312"/>
          <w:snapToGrid w:val="0"/>
          <w:kern w:val="0"/>
          <w:szCs w:val="32"/>
        </w:rPr>
        <w:t>2025年，社区嵌入式服务设施建设稳步推进，完成斜口街道骊山新家园社区1个试点项目建设任务，具备运营条件，基本形成较为成熟的项目建设、要素保障、运营模式，相关标准、资金、用地等政策保障体系基本成形。</w:t>
      </w:r>
    </w:p>
    <w:p>
      <w:pPr>
        <w:pStyle w:val="5"/>
        <w:spacing w:after="0" w:line="600" w:lineRule="exact"/>
        <w:ind w:firstLine="648"/>
        <w:rPr>
          <w:rFonts w:eastAsia="仿宋_GB2312"/>
          <w:snapToGrid w:val="0"/>
          <w:kern w:val="0"/>
          <w:szCs w:val="32"/>
        </w:rPr>
      </w:pPr>
      <w:r>
        <w:rPr>
          <w:rFonts w:eastAsia="仿宋_GB2312"/>
          <w:snapToGrid w:val="0"/>
          <w:kern w:val="0"/>
          <w:szCs w:val="32"/>
        </w:rPr>
        <w:t>2026年，社区嵌入式服务设施建设持续推进，完成骊山街道东大街社区、秦陵街道秦陵科技社区2个试点项目建设任务，具备运营条件。全区4个试点项目建设任务全部完成并投入运营</w:t>
      </w:r>
      <w:r>
        <w:rPr>
          <w:rFonts w:hint="eastAsia" w:eastAsia="仿宋_GB2312"/>
          <w:snapToGrid w:val="0"/>
          <w:kern w:val="0"/>
          <w:szCs w:val="32"/>
        </w:rPr>
        <w:t>，</w:t>
      </w:r>
    </w:p>
    <w:p>
      <w:pPr>
        <w:spacing w:line="600" w:lineRule="exact"/>
        <w:rPr>
          <w:rFonts w:eastAsia="仿宋_GB2312"/>
          <w:snapToGrid w:val="0"/>
          <w:kern w:val="0"/>
          <w:szCs w:val="32"/>
        </w:rPr>
      </w:pPr>
      <w:r>
        <w:rPr>
          <w:rFonts w:eastAsia="仿宋_GB2312"/>
          <w:snapToGrid w:val="0"/>
          <w:kern w:val="0"/>
          <w:szCs w:val="32"/>
        </w:rPr>
        <w:t>在总结试点经验做法和有效建设模式基础上，向全区各类社区有序推进，逐步实现居民就近就便享有优质普惠公共服务。</w:t>
      </w:r>
    </w:p>
    <w:p>
      <w:pPr>
        <w:spacing w:line="600" w:lineRule="exact"/>
        <w:ind w:firstLine="640" w:firstLineChars="200"/>
        <w:rPr>
          <w:rFonts w:eastAsia="仿宋_GB2312"/>
          <w:snapToGrid w:val="0"/>
          <w:kern w:val="0"/>
          <w:szCs w:val="32"/>
        </w:rPr>
      </w:pPr>
      <w:r>
        <w:rPr>
          <w:rFonts w:eastAsia="楷体_GB2312"/>
          <w:snapToGrid w:val="0"/>
          <w:kern w:val="0"/>
          <w:szCs w:val="32"/>
        </w:rPr>
        <w:t>（二）持续推进补齐功能短板。</w:t>
      </w:r>
      <w:r>
        <w:rPr>
          <w:rFonts w:eastAsia="仿宋_GB2312"/>
          <w:snapToGrid w:val="0"/>
          <w:kern w:val="0"/>
          <w:szCs w:val="32"/>
        </w:rPr>
        <w:t>从2027年到2030年，在总结试点经验和有效建设模式的基础上，向全区各类社区稳妥有序推进，逐步补齐社区服务短板，全区社区嵌入式服务设施中养老服务、婴幼儿托育、儿童托管和社区助餐4项标配功能覆盖率分别不低于</w:t>
      </w:r>
      <w:r>
        <w:rPr>
          <w:rFonts w:eastAsia="仿宋_GB2312"/>
          <w:szCs w:val="32"/>
        </w:rPr>
        <w:t>90%、50%、90%、70%</w:t>
      </w:r>
      <w:r>
        <w:rPr>
          <w:rFonts w:eastAsia="仿宋_GB2312"/>
          <w:snapToGrid w:val="0"/>
          <w:kern w:val="0"/>
          <w:szCs w:val="32"/>
        </w:rPr>
        <w:t>（计算占比时社区总数不含未回迁社区数量），其余5项功能全覆盖，实现居民就近就便享有优质普惠公共服务，让居民生活更美好，幸福感更强。</w:t>
      </w:r>
    </w:p>
    <w:p>
      <w:pPr>
        <w:pStyle w:val="4"/>
        <w:numPr>
          <w:ilvl w:val="0"/>
          <w:numId w:val="1"/>
        </w:numPr>
        <w:spacing w:line="600" w:lineRule="exact"/>
        <w:ind w:firstLine="640"/>
        <w:rPr>
          <w:rFonts w:ascii="Times New Roman" w:hAnsi="Times New Roman" w:eastAsia="黑体"/>
          <w:snapToGrid w:val="0"/>
          <w:kern w:val="0"/>
          <w:szCs w:val="32"/>
        </w:rPr>
      </w:pPr>
      <w:r>
        <w:rPr>
          <w:rFonts w:ascii="Times New Roman" w:hAnsi="Times New Roman" w:eastAsia="黑体"/>
          <w:snapToGrid w:val="0"/>
          <w:kern w:val="0"/>
          <w:szCs w:val="32"/>
        </w:rPr>
        <w:t>规范运营</w:t>
      </w:r>
    </w:p>
    <w:p>
      <w:pPr>
        <w:pStyle w:val="5"/>
        <w:numPr>
          <w:ilvl w:val="0"/>
          <w:numId w:val="2"/>
        </w:numPr>
        <w:spacing w:after="0" w:line="600" w:lineRule="exact"/>
        <w:ind w:firstLine="640" w:firstLineChars="200"/>
        <w:rPr>
          <w:rFonts w:eastAsia="楷体_GB2312"/>
          <w:snapToGrid w:val="0"/>
          <w:kern w:val="0"/>
          <w:szCs w:val="32"/>
        </w:rPr>
      </w:pPr>
      <w:r>
        <w:rPr>
          <w:rFonts w:eastAsia="楷体_GB2312"/>
          <w:snapToGrid w:val="0"/>
          <w:kern w:val="0"/>
          <w:szCs w:val="32"/>
        </w:rPr>
        <w:t>培育运营主体。</w:t>
      </w:r>
      <w:r>
        <w:rPr>
          <w:rFonts w:eastAsia="仿宋_GB2312"/>
          <w:snapToGrid w:val="0"/>
          <w:kern w:val="0"/>
          <w:szCs w:val="32"/>
        </w:rPr>
        <w:t>积极培育社区综合服务和专项服务运营主体，在养老托育、社区助餐、家政便民等领域培育一批服务优、重诚信、能带动的企业和服务品牌。鼓励各类企事业单位、社会组织、志愿团队等多元主体参与运营，提供普惠服务。</w:t>
      </w:r>
    </w:p>
    <w:p>
      <w:pPr>
        <w:pStyle w:val="5"/>
        <w:spacing w:after="0" w:line="600" w:lineRule="exact"/>
        <w:ind w:firstLine="640" w:firstLineChars="200"/>
        <w:rPr>
          <w:rFonts w:eastAsia="仿宋_GB2312"/>
          <w:snapToGrid w:val="0"/>
          <w:kern w:val="0"/>
          <w:szCs w:val="32"/>
        </w:rPr>
      </w:pPr>
      <w:r>
        <w:rPr>
          <w:rFonts w:eastAsia="楷体_GB2312"/>
          <w:snapToGrid w:val="0"/>
          <w:kern w:val="0"/>
          <w:szCs w:val="32"/>
        </w:rPr>
        <w:t>（二）创新运营模式。</w:t>
      </w:r>
      <w:r>
        <w:rPr>
          <w:rFonts w:eastAsia="仿宋_GB2312"/>
          <w:snapToGrid w:val="0"/>
          <w:kern w:val="0"/>
          <w:szCs w:val="32"/>
        </w:rPr>
        <w:t>根据《西安市社区嵌入式服务设施建设运营管理办法（试行）》（市政办发〔2024〕14 号）通知精神，全面规范社区嵌入式服务设施运营管理。根据居民需求、市场供给和财政能力，科学选择公建民营、民办公助、政府购买服务等建设运营模式。按照</w:t>
      </w:r>
      <w:r>
        <w:rPr>
          <w:rFonts w:hint="eastAsia" w:eastAsia="仿宋_GB2312"/>
          <w:snapToGrid w:val="0"/>
          <w:kern w:val="0"/>
          <w:szCs w:val="32"/>
        </w:rPr>
        <w:t>“</w:t>
      </w:r>
      <w:r>
        <w:rPr>
          <w:rFonts w:eastAsia="仿宋_GB2312"/>
          <w:snapToGrid w:val="0"/>
          <w:kern w:val="0"/>
          <w:szCs w:val="32"/>
        </w:rPr>
        <w:t>政府主建、企业或社会组织主营</w:t>
      </w:r>
      <w:r>
        <w:rPr>
          <w:rFonts w:hint="eastAsia" w:eastAsia="仿宋_GB2312"/>
          <w:snapToGrid w:val="0"/>
          <w:kern w:val="0"/>
          <w:szCs w:val="32"/>
        </w:rPr>
        <w:t>”</w:t>
      </w:r>
      <w:r>
        <w:rPr>
          <w:rFonts w:eastAsia="仿宋_GB2312"/>
          <w:snapToGrid w:val="0"/>
          <w:kern w:val="0"/>
          <w:szCs w:val="32"/>
        </w:rPr>
        <w:t>的原则，盘活空间场地资源，以免费或低价方式提供给服务运营主体，帮助其降低运营成本。探索连锁化、托管式运营社区嵌入式服务模式，构建</w:t>
      </w:r>
      <w:r>
        <w:rPr>
          <w:rFonts w:hint="eastAsia" w:eastAsia="仿宋_GB2312"/>
          <w:snapToGrid w:val="0"/>
          <w:kern w:val="0"/>
          <w:szCs w:val="32"/>
        </w:rPr>
        <w:t>“</w:t>
      </w:r>
      <w:r>
        <w:rPr>
          <w:rFonts w:eastAsia="仿宋_GB2312"/>
          <w:snapToGrid w:val="0"/>
          <w:kern w:val="0"/>
          <w:szCs w:val="32"/>
        </w:rPr>
        <w:t>街道</w:t>
      </w:r>
      <w:r>
        <w:rPr>
          <w:rFonts w:hint="eastAsia" w:eastAsia="仿宋_GB2312"/>
          <w:snapToGrid w:val="0"/>
          <w:kern w:val="0"/>
          <w:szCs w:val="32"/>
        </w:rPr>
        <w:t>—</w:t>
      </w:r>
      <w:r>
        <w:rPr>
          <w:rFonts w:eastAsia="仿宋_GB2312"/>
          <w:snapToGrid w:val="0"/>
          <w:kern w:val="0"/>
          <w:szCs w:val="32"/>
        </w:rPr>
        <w:t>社区</w:t>
      </w:r>
      <w:r>
        <w:rPr>
          <w:rFonts w:hint="eastAsia" w:eastAsia="仿宋_GB2312"/>
          <w:snapToGrid w:val="0"/>
          <w:kern w:val="0"/>
          <w:szCs w:val="32"/>
        </w:rPr>
        <w:t>—</w:t>
      </w:r>
      <w:r>
        <w:rPr>
          <w:rFonts w:eastAsia="仿宋_GB2312"/>
          <w:snapToGrid w:val="0"/>
          <w:kern w:val="0"/>
          <w:szCs w:val="32"/>
        </w:rPr>
        <w:t>小区</w:t>
      </w:r>
      <w:r>
        <w:rPr>
          <w:rFonts w:hint="eastAsia" w:eastAsia="仿宋_GB2312"/>
          <w:snapToGrid w:val="0"/>
          <w:kern w:val="0"/>
          <w:szCs w:val="32"/>
        </w:rPr>
        <w:t>”</w:t>
      </w:r>
      <w:r>
        <w:rPr>
          <w:rFonts w:eastAsia="仿宋_GB2312"/>
          <w:snapToGrid w:val="0"/>
          <w:kern w:val="0"/>
          <w:szCs w:val="32"/>
        </w:rPr>
        <w:t>综合服务体系。</w:t>
      </w:r>
      <w:r>
        <w:rPr>
          <w:rFonts w:eastAsia="仿宋_GB2312"/>
          <w:szCs w:val="32"/>
        </w:rPr>
        <w:t>探索</w:t>
      </w:r>
      <w:r>
        <w:rPr>
          <w:rFonts w:hint="eastAsia" w:eastAsia="仿宋_GB2312"/>
          <w:szCs w:val="32"/>
        </w:rPr>
        <w:t>“</w:t>
      </w:r>
      <w:r>
        <w:rPr>
          <w:rFonts w:eastAsia="仿宋_GB2312"/>
          <w:szCs w:val="32"/>
        </w:rPr>
        <w:t>设计</w:t>
      </w:r>
      <w:r>
        <w:rPr>
          <w:rFonts w:hint="eastAsia" w:eastAsia="仿宋_GB2312"/>
          <w:szCs w:val="32"/>
        </w:rPr>
        <w:t>—</w:t>
      </w:r>
      <w:r>
        <w:rPr>
          <w:rFonts w:eastAsia="仿宋_GB2312"/>
          <w:szCs w:val="32"/>
        </w:rPr>
        <w:t>建设</w:t>
      </w:r>
      <w:r>
        <w:rPr>
          <w:rFonts w:hint="eastAsia" w:eastAsia="仿宋_GB2312"/>
          <w:szCs w:val="32"/>
        </w:rPr>
        <w:t>—</w:t>
      </w:r>
      <w:r>
        <w:rPr>
          <w:rFonts w:eastAsia="仿宋_GB2312"/>
          <w:szCs w:val="32"/>
        </w:rPr>
        <w:t>运营</w:t>
      </w:r>
      <w:r>
        <w:rPr>
          <w:rFonts w:hint="eastAsia" w:eastAsia="仿宋_GB2312"/>
          <w:szCs w:val="32"/>
        </w:rPr>
        <w:t>”</w:t>
      </w:r>
      <w:r>
        <w:rPr>
          <w:rFonts w:eastAsia="仿宋_GB2312"/>
          <w:szCs w:val="32"/>
        </w:rPr>
        <w:t>一体化方式，推动形成价格普惠、服务优质的社区嵌入式服务新模式。探索</w:t>
      </w:r>
      <w:r>
        <w:rPr>
          <w:rFonts w:hint="eastAsia" w:eastAsia="仿宋_GB2312"/>
          <w:szCs w:val="32"/>
        </w:rPr>
        <w:t>“</w:t>
      </w:r>
      <w:r>
        <w:rPr>
          <w:rFonts w:eastAsia="仿宋_GB2312"/>
          <w:szCs w:val="32"/>
        </w:rPr>
        <w:t>政府补、企业让、社区帮、个人付</w:t>
      </w:r>
      <w:r>
        <w:rPr>
          <w:rFonts w:hint="eastAsia" w:eastAsia="仿宋_GB2312"/>
          <w:szCs w:val="32"/>
        </w:rPr>
        <w:t>”</w:t>
      </w:r>
      <w:r>
        <w:rPr>
          <w:rFonts w:eastAsia="仿宋_GB2312"/>
          <w:szCs w:val="32"/>
        </w:rPr>
        <w:t>方式，为居民提供普惠化、专业化服务，走出政策出红利、企业赚微利、群众得福利的可持续发展新路径。</w:t>
      </w:r>
    </w:p>
    <w:p>
      <w:pPr>
        <w:pStyle w:val="5"/>
        <w:spacing w:after="0" w:line="600" w:lineRule="exact"/>
        <w:ind w:firstLine="640" w:firstLineChars="200"/>
        <w:rPr>
          <w:rFonts w:eastAsia="仿宋_GB2312"/>
          <w:szCs w:val="32"/>
        </w:rPr>
      </w:pPr>
      <w:r>
        <w:rPr>
          <w:rFonts w:eastAsia="楷体_GB2312"/>
          <w:snapToGrid w:val="0"/>
          <w:kern w:val="0"/>
          <w:szCs w:val="32"/>
        </w:rPr>
        <w:t>（三）强化运营监管。</w:t>
      </w:r>
      <w:r>
        <w:rPr>
          <w:rFonts w:eastAsia="仿宋_GB2312"/>
          <w:szCs w:val="32"/>
        </w:rPr>
        <w:t>建立社区嵌入式服务运营评估及反馈机制，对设施建设运营情况进行定期评价，对提供服务进行居民使用意愿和满意度评价，对服务质量进行动态评价。</w:t>
      </w:r>
      <w:r>
        <w:rPr>
          <w:rFonts w:eastAsia="仿宋_GB2312"/>
          <w:snapToGrid w:val="0"/>
          <w:kern w:val="0"/>
          <w:szCs w:val="32"/>
        </w:rPr>
        <w:t>探索建立</w:t>
      </w:r>
      <w:r>
        <w:rPr>
          <w:rFonts w:hint="eastAsia" w:eastAsia="仿宋_GB2312"/>
          <w:snapToGrid w:val="0"/>
          <w:kern w:val="0"/>
          <w:szCs w:val="32"/>
        </w:rPr>
        <w:t>“</w:t>
      </w:r>
      <w:r>
        <w:rPr>
          <w:rFonts w:eastAsia="仿宋_GB2312"/>
          <w:snapToGrid w:val="0"/>
          <w:kern w:val="0"/>
          <w:szCs w:val="32"/>
        </w:rPr>
        <w:t>合格社区服务运营商</w:t>
      </w:r>
      <w:r>
        <w:rPr>
          <w:rFonts w:hint="eastAsia" w:eastAsia="仿宋_GB2312"/>
          <w:snapToGrid w:val="0"/>
          <w:kern w:val="0"/>
          <w:szCs w:val="32"/>
        </w:rPr>
        <w:t>”</w:t>
      </w:r>
      <w:r>
        <w:rPr>
          <w:rFonts w:eastAsia="仿宋_GB2312"/>
          <w:snapToGrid w:val="0"/>
          <w:kern w:val="0"/>
          <w:szCs w:val="32"/>
        </w:rPr>
        <w:t>名单制度并向社会公示，根据群众满意度评价动态更新名单。</w:t>
      </w:r>
    </w:p>
    <w:p>
      <w:pPr>
        <w:spacing w:line="600" w:lineRule="exact"/>
        <w:ind w:firstLine="640" w:firstLineChars="200"/>
        <w:rPr>
          <w:szCs w:val="32"/>
        </w:rPr>
      </w:pPr>
      <w:r>
        <w:rPr>
          <w:szCs w:val="32"/>
        </w:rPr>
        <w:t>四、工作机制</w:t>
      </w:r>
    </w:p>
    <w:p>
      <w:pPr>
        <w:spacing w:line="600" w:lineRule="exact"/>
        <w:ind w:firstLine="640" w:firstLineChars="200"/>
        <w:rPr>
          <w:rFonts w:eastAsia="仿宋_GB2312"/>
          <w:snapToGrid w:val="0"/>
          <w:kern w:val="0"/>
          <w:szCs w:val="32"/>
        </w:rPr>
      </w:pPr>
      <w:r>
        <w:rPr>
          <w:rFonts w:eastAsia="楷体_GB2312"/>
          <w:snapToGrid w:val="0"/>
          <w:kern w:val="0"/>
          <w:szCs w:val="32"/>
        </w:rPr>
        <w:t>（一）建立统筹协调机制。</w:t>
      </w:r>
      <w:r>
        <w:rPr>
          <w:rFonts w:eastAsia="仿宋_GB2312"/>
          <w:snapToGrid w:val="0"/>
          <w:kern w:val="0"/>
          <w:szCs w:val="32"/>
        </w:rPr>
        <w:t>参照市级模式，成立由区政府主要领导任组长的工作专班，建立健全政府统筹、条块协作、齐抓共管的工作机制，制定工作方案和任务清单，明确部门和街道、社区职责分工，统筹推进嵌入式服务设施建设。</w:t>
      </w:r>
    </w:p>
    <w:p>
      <w:pPr>
        <w:spacing w:line="600" w:lineRule="exact"/>
        <w:ind w:firstLine="640" w:firstLineChars="200"/>
        <w:rPr>
          <w:rFonts w:eastAsia="仿宋_GB2312"/>
          <w:kern w:val="0"/>
          <w:sz w:val="26"/>
          <w:szCs w:val="26"/>
        </w:rPr>
      </w:pPr>
      <w:r>
        <w:rPr>
          <w:rFonts w:eastAsia="楷体_GB2312"/>
          <w:snapToGrid w:val="0"/>
          <w:kern w:val="0"/>
          <w:szCs w:val="32"/>
        </w:rPr>
        <w:t>（二）完善项目推进和监管机制。</w:t>
      </w:r>
      <w:r>
        <w:rPr>
          <w:rFonts w:eastAsia="仿宋_GB2312"/>
          <w:snapToGrid w:val="0"/>
          <w:kern w:val="0"/>
          <w:szCs w:val="32"/>
        </w:rPr>
        <w:t>区工作专班对全区嵌入式服务设施建设项目进行推进和调度。区发改委、资源规划分局、住建局等部门要发挥行业作用，在项目立项、建设、审批等环节优化简化程序，提供行业支持，加强项目质量安全监督管理，做好项目档案保管</w:t>
      </w:r>
      <w:r>
        <w:rPr>
          <w:rFonts w:eastAsia="仿宋_GB2312"/>
          <w:kern w:val="0"/>
          <w:szCs w:val="32"/>
        </w:rPr>
        <w:t>。</w:t>
      </w:r>
    </w:p>
    <w:p>
      <w:pPr>
        <w:spacing w:line="600" w:lineRule="exact"/>
        <w:ind w:firstLine="640" w:firstLineChars="200"/>
        <w:rPr>
          <w:rFonts w:eastAsia="仿宋_GB2312"/>
          <w:snapToGrid w:val="0"/>
          <w:kern w:val="0"/>
          <w:szCs w:val="32"/>
        </w:rPr>
      </w:pPr>
      <w:r>
        <w:rPr>
          <w:rFonts w:eastAsia="楷体_GB2312"/>
          <w:snapToGrid w:val="0"/>
          <w:kern w:val="0"/>
          <w:szCs w:val="32"/>
        </w:rPr>
        <w:t>（三）加强协商参与机制。</w:t>
      </w:r>
      <w:r>
        <w:rPr>
          <w:rFonts w:eastAsia="仿宋_GB2312"/>
          <w:snapToGrid w:val="0"/>
          <w:kern w:val="0"/>
          <w:szCs w:val="32"/>
        </w:rPr>
        <w:t>要充分发挥街道、社区党组织的领导作用，组织协调社区内各单位积极参与、共同建设。充分调动社区、业委会、物业服务企业、产权单位的建设积极性，鼓励引导居民积极参与设计和建设方案的制定，在建设施工、运营监管、效果评价等方面做好配合，实现共同决策、协商共管、成果共享。街道、社区搭建沟通议事平台，主动了解居民诉求，及时回应群众关切。</w:t>
      </w:r>
    </w:p>
    <w:p>
      <w:pPr>
        <w:spacing w:line="600" w:lineRule="exact"/>
        <w:ind w:firstLine="640" w:firstLineChars="200"/>
        <w:rPr>
          <w:szCs w:val="32"/>
        </w:rPr>
      </w:pPr>
      <w:r>
        <w:rPr>
          <w:szCs w:val="32"/>
        </w:rPr>
        <w:t>五、工作要求</w:t>
      </w:r>
    </w:p>
    <w:p>
      <w:pPr>
        <w:pStyle w:val="5"/>
        <w:spacing w:after="0" w:line="600" w:lineRule="exact"/>
        <w:ind w:firstLine="640" w:firstLineChars="200"/>
        <w:rPr>
          <w:rFonts w:eastAsia="仿宋_GB2312"/>
          <w:snapToGrid w:val="0"/>
          <w:kern w:val="0"/>
          <w:szCs w:val="32"/>
        </w:rPr>
      </w:pPr>
      <w:r>
        <w:rPr>
          <w:rFonts w:eastAsia="楷体_GB2312"/>
          <w:szCs w:val="32"/>
        </w:rPr>
        <w:t>（一）精准摸清底数现状。</w:t>
      </w:r>
      <w:r>
        <w:rPr>
          <w:rFonts w:eastAsia="仿宋_GB2312"/>
          <w:szCs w:val="32"/>
        </w:rPr>
        <w:t>要</w:t>
      </w:r>
      <w:r>
        <w:rPr>
          <w:rFonts w:eastAsia="仿宋_GB2312"/>
          <w:snapToGrid w:val="0"/>
          <w:kern w:val="0"/>
          <w:szCs w:val="32"/>
        </w:rPr>
        <w:t>以街道为单位，结合人口分布结构，进一步组织开展社区嵌入式服务设施建设情况大调研，全面掌握9项设施建设现状和服务开展情况，梳理社区嵌入式服务短板弱项，广泛征求居民意见和需求，以解决社区居民</w:t>
      </w:r>
      <w:r>
        <w:rPr>
          <w:rFonts w:hint="eastAsia" w:eastAsia="仿宋_GB2312"/>
          <w:snapToGrid w:val="0"/>
          <w:kern w:val="0"/>
          <w:szCs w:val="32"/>
        </w:rPr>
        <w:t>“</w:t>
      </w:r>
      <w:r>
        <w:rPr>
          <w:rFonts w:eastAsia="仿宋_GB2312"/>
          <w:snapToGrid w:val="0"/>
          <w:kern w:val="0"/>
          <w:szCs w:val="32"/>
        </w:rPr>
        <w:t>急难愁盼</w:t>
      </w:r>
      <w:r>
        <w:rPr>
          <w:rFonts w:hint="eastAsia" w:eastAsia="仿宋_GB2312"/>
          <w:snapToGrid w:val="0"/>
          <w:kern w:val="0"/>
          <w:szCs w:val="32"/>
        </w:rPr>
        <w:t>”</w:t>
      </w:r>
      <w:r>
        <w:rPr>
          <w:rFonts w:eastAsia="仿宋_GB2312"/>
          <w:snapToGrid w:val="0"/>
          <w:kern w:val="0"/>
          <w:szCs w:val="32"/>
        </w:rPr>
        <w:t>问题为出发点和落脚点，形成社区嵌入式服务设施需求清单。各街道要充分掌握社区用房、居住小区空地、老旧小区腾退用地、低效闲置用地用房等现状，深入挖掘、盘活资源，做到</w:t>
      </w:r>
      <w:r>
        <w:rPr>
          <w:rFonts w:hint="eastAsia" w:eastAsia="仿宋_GB2312"/>
          <w:snapToGrid w:val="0"/>
          <w:kern w:val="0"/>
          <w:szCs w:val="32"/>
        </w:rPr>
        <w:t>“</w:t>
      </w:r>
      <w:r>
        <w:rPr>
          <w:rFonts w:eastAsia="仿宋_GB2312"/>
          <w:snapToGrid w:val="0"/>
          <w:kern w:val="0"/>
          <w:szCs w:val="32"/>
        </w:rPr>
        <w:t>不求所有、但求所用</w:t>
      </w:r>
      <w:r>
        <w:rPr>
          <w:rFonts w:hint="eastAsia" w:eastAsia="仿宋_GB2312"/>
          <w:snapToGrid w:val="0"/>
          <w:kern w:val="0"/>
          <w:szCs w:val="32"/>
        </w:rPr>
        <w:t>”</w:t>
      </w:r>
      <w:r>
        <w:rPr>
          <w:rFonts w:eastAsia="仿宋_GB2312"/>
          <w:snapToGrid w:val="0"/>
          <w:kern w:val="0"/>
          <w:szCs w:val="32"/>
        </w:rPr>
        <w:t>。已建成小区要对照规划许可内容和现有设施情况进行排查比对，未落实相关社区服务设施或挪作他用的要收回、置换和补建</w:t>
      </w:r>
      <w:r>
        <w:rPr>
          <w:rFonts w:hint="eastAsia" w:eastAsia="仿宋_GB2312"/>
          <w:snapToGrid w:val="0"/>
          <w:kern w:val="0"/>
          <w:szCs w:val="32"/>
        </w:rPr>
        <w:t>；</w:t>
      </w:r>
      <w:r>
        <w:rPr>
          <w:rFonts w:eastAsia="仿宋_GB2312"/>
          <w:kern w:val="0"/>
          <w:szCs w:val="32"/>
        </w:rPr>
        <w:t>机关事务</w:t>
      </w:r>
      <w:r>
        <w:rPr>
          <w:rFonts w:hint="eastAsia" w:eastAsia="仿宋_GB2312"/>
          <w:kern w:val="0"/>
          <w:szCs w:val="32"/>
        </w:rPr>
        <w:t>服务中心</w:t>
      </w:r>
      <w:r>
        <w:rPr>
          <w:rFonts w:eastAsia="仿宋_GB2312"/>
          <w:kern w:val="0"/>
          <w:szCs w:val="32"/>
        </w:rPr>
        <w:t>和国有企业要摸清所属闲置土地、办公用房情况，在保持所有权不变的前提下，按照各自管理要求，支持社区嵌入式服务设施建设。</w:t>
      </w:r>
    </w:p>
    <w:p>
      <w:pPr>
        <w:pStyle w:val="5"/>
        <w:spacing w:after="0" w:line="600" w:lineRule="exact"/>
        <w:ind w:firstLine="640" w:firstLineChars="200"/>
        <w:rPr>
          <w:rFonts w:eastAsia="仿宋_GB2312"/>
          <w:snapToGrid w:val="0"/>
          <w:kern w:val="0"/>
          <w:szCs w:val="32"/>
        </w:rPr>
      </w:pPr>
      <w:r>
        <w:rPr>
          <w:rFonts w:eastAsia="楷体_GB2312"/>
          <w:szCs w:val="32"/>
        </w:rPr>
        <w:t>（二）科学规划合理布局。</w:t>
      </w:r>
      <w:r>
        <w:rPr>
          <w:rFonts w:eastAsia="仿宋_GB2312"/>
          <w:snapToGrid w:val="0"/>
          <w:kern w:val="0"/>
          <w:szCs w:val="32"/>
        </w:rPr>
        <w:t>充分发挥伴随式规划团队或专业规划团队的作用，根据各社区嵌入式服务设施建设现状，结合老旧小区改造、完整社区建设、城市一刻钟便民生活圈建设、适老化改造等工作，以在社区居民适宜步行范围内，充分体现贴近群众、公益普惠、功能多样、服务便捷等特点，系统谋划、统筹考虑，科学规划布局嵌入式服务设施。优先考虑布局功能复合集成的社区嵌入式服务综合体并纳入试点，对暂不具备条件的社区可考虑</w:t>
      </w:r>
      <w:r>
        <w:rPr>
          <w:rFonts w:hint="eastAsia" w:eastAsia="仿宋_GB2312"/>
          <w:snapToGrid w:val="0"/>
          <w:kern w:val="0"/>
          <w:szCs w:val="32"/>
        </w:rPr>
        <w:t>“</w:t>
      </w:r>
      <w:r>
        <w:rPr>
          <w:rFonts w:eastAsia="仿宋_GB2312"/>
          <w:snapToGrid w:val="0"/>
          <w:kern w:val="0"/>
          <w:szCs w:val="32"/>
        </w:rPr>
        <w:t>插花</w:t>
      </w:r>
      <w:r>
        <w:rPr>
          <w:rFonts w:hint="eastAsia" w:eastAsia="仿宋_GB2312"/>
          <w:snapToGrid w:val="0"/>
          <w:kern w:val="0"/>
          <w:szCs w:val="32"/>
        </w:rPr>
        <w:t>”</w:t>
      </w:r>
      <w:r>
        <w:rPr>
          <w:rFonts w:eastAsia="仿宋_GB2312"/>
          <w:snapToGrid w:val="0"/>
          <w:kern w:val="0"/>
          <w:szCs w:val="32"/>
        </w:rPr>
        <w:t>式分散布局功能相对单一的服务设施。新建居住区配建的社区嵌入式服务设施，应与居住区同步规划、同步建设、同步验收和同步交</w:t>
      </w:r>
      <w:r>
        <w:rPr>
          <w:rFonts w:eastAsia="仿宋_GB2312"/>
          <w:kern w:val="0"/>
          <w:szCs w:val="32"/>
        </w:rPr>
        <w:t>付。资源规划、住建等相关部门要将小区公建配套社区综合服务设施纳入对房地产企业的管理和考核。</w:t>
      </w:r>
      <w:r>
        <w:rPr>
          <w:rFonts w:eastAsia="仿宋_GB2312"/>
          <w:snapToGrid w:val="0"/>
          <w:kern w:val="0"/>
          <w:szCs w:val="32"/>
        </w:rPr>
        <w:t>在选址布局时要做好安全评估工作。</w:t>
      </w:r>
    </w:p>
    <w:p>
      <w:pPr>
        <w:pStyle w:val="5"/>
        <w:spacing w:after="0" w:line="600" w:lineRule="exact"/>
        <w:ind w:firstLine="640" w:firstLineChars="200"/>
        <w:rPr>
          <w:rFonts w:eastAsia="仿宋_GB2312"/>
          <w:szCs w:val="32"/>
        </w:rPr>
      </w:pPr>
      <w:r>
        <w:rPr>
          <w:rFonts w:eastAsia="楷体_GB2312"/>
          <w:szCs w:val="32"/>
        </w:rPr>
        <w:t>（三）因地制宜制定方案。</w:t>
      </w:r>
      <w:r>
        <w:rPr>
          <w:rFonts w:eastAsia="仿宋_GB2312"/>
          <w:snapToGrid w:val="0"/>
          <w:kern w:val="0"/>
          <w:szCs w:val="32"/>
        </w:rPr>
        <w:t>要综合考虑建设现状、建设需求、建设条件和安全标准，以社区为单元，合理制定建设方案。按照功能可拓展、空间可转换、标准能兼容的要求，最大限度整合利用好存量资源，宜建则建、宜改则改，综合采用新建、改建、扩建、补建多种方式，不搞</w:t>
      </w:r>
      <w:r>
        <w:rPr>
          <w:rFonts w:hint="eastAsia" w:eastAsia="仿宋_GB2312"/>
          <w:snapToGrid w:val="0"/>
          <w:kern w:val="0"/>
          <w:szCs w:val="32"/>
        </w:rPr>
        <w:t>“</w:t>
      </w:r>
      <w:r>
        <w:rPr>
          <w:rFonts w:eastAsia="仿宋_GB2312"/>
          <w:snapToGrid w:val="0"/>
          <w:kern w:val="0"/>
          <w:szCs w:val="32"/>
        </w:rPr>
        <w:t>一刀切</w:t>
      </w:r>
      <w:r>
        <w:rPr>
          <w:rFonts w:hint="eastAsia" w:eastAsia="仿宋_GB2312"/>
          <w:snapToGrid w:val="0"/>
          <w:kern w:val="0"/>
          <w:szCs w:val="32"/>
        </w:rPr>
        <w:t>”</w:t>
      </w:r>
      <w:r>
        <w:rPr>
          <w:rFonts w:eastAsia="仿宋_GB2312"/>
          <w:snapToGrid w:val="0"/>
          <w:kern w:val="0"/>
          <w:szCs w:val="32"/>
        </w:rPr>
        <w:t>，做到</w:t>
      </w:r>
      <w:r>
        <w:rPr>
          <w:rFonts w:hint="eastAsia" w:eastAsia="仿宋_GB2312"/>
          <w:snapToGrid w:val="0"/>
          <w:kern w:val="0"/>
          <w:szCs w:val="32"/>
        </w:rPr>
        <w:t>“</w:t>
      </w:r>
      <w:r>
        <w:rPr>
          <w:rFonts w:eastAsia="仿宋_GB2312"/>
          <w:snapToGrid w:val="0"/>
          <w:kern w:val="0"/>
          <w:szCs w:val="32"/>
        </w:rPr>
        <w:t>一社区一策</w:t>
      </w:r>
      <w:r>
        <w:rPr>
          <w:rFonts w:hint="eastAsia" w:eastAsia="仿宋_GB2312"/>
          <w:snapToGrid w:val="0"/>
          <w:kern w:val="0"/>
          <w:szCs w:val="32"/>
        </w:rPr>
        <w:t>”</w:t>
      </w:r>
      <w:r>
        <w:rPr>
          <w:rFonts w:eastAsia="仿宋_GB2312"/>
          <w:snapToGrid w:val="0"/>
          <w:kern w:val="0"/>
          <w:szCs w:val="32"/>
        </w:rPr>
        <w:t>。方案要明确建设目标、建设内容、建设方式、建设时限、管理运营等，优先保障设置婴幼儿托位、具有短期托养功能的护理型养老床位的必要空间，切实增强针对性和操作性。</w:t>
      </w:r>
    </w:p>
    <w:p>
      <w:pPr>
        <w:pStyle w:val="5"/>
        <w:spacing w:after="0" w:line="600" w:lineRule="exact"/>
        <w:ind w:firstLine="640" w:firstLineChars="200"/>
        <w:rPr>
          <w:rFonts w:eastAsia="仿宋_GB2312"/>
          <w:snapToGrid w:val="0"/>
          <w:kern w:val="0"/>
          <w:szCs w:val="32"/>
        </w:rPr>
      </w:pPr>
      <w:r>
        <w:rPr>
          <w:rFonts w:eastAsia="楷体_GB2312"/>
          <w:szCs w:val="32"/>
        </w:rPr>
        <w:t>（四）优化项目审批</w:t>
      </w:r>
      <w:r>
        <w:rPr>
          <w:rFonts w:hint="eastAsia" w:eastAsia="楷体_GB2312"/>
          <w:szCs w:val="32"/>
        </w:rPr>
        <w:t>流程</w:t>
      </w:r>
      <w:r>
        <w:rPr>
          <w:rFonts w:eastAsia="楷体_GB2312"/>
          <w:szCs w:val="32"/>
        </w:rPr>
        <w:t>。</w:t>
      </w:r>
      <w:r>
        <w:rPr>
          <w:rFonts w:eastAsia="仿宋_GB2312"/>
          <w:snapToGrid w:val="0"/>
          <w:kern w:val="0"/>
          <w:szCs w:val="32"/>
        </w:rPr>
        <w:t>社区嵌入式服务设施项目立项由</w:t>
      </w:r>
      <w:r>
        <w:rPr>
          <w:rFonts w:eastAsia="仿宋_GB2312"/>
          <w:szCs w:val="32"/>
        </w:rPr>
        <w:t>区政府</w:t>
      </w:r>
      <w:r>
        <w:rPr>
          <w:rFonts w:eastAsia="仿宋_GB2312"/>
          <w:snapToGrid w:val="0"/>
          <w:kern w:val="0"/>
          <w:szCs w:val="32"/>
        </w:rPr>
        <w:t>审批，</w:t>
      </w:r>
      <w:r>
        <w:rPr>
          <w:rFonts w:eastAsia="仿宋_GB2312"/>
          <w:szCs w:val="32"/>
        </w:rPr>
        <w:t>原则上街道或社区作为项目立项实施主体，严</w:t>
      </w:r>
      <w:r>
        <w:rPr>
          <w:rFonts w:eastAsia="仿宋_GB2312"/>
          <w:snapToGrid w:val="0"/>
          <w:kern w:val="0"/>
          <w:szCs w:val="32"/>
        </w:rPr>
        <w:t>把安全标准。要简化社区嵌入式服务机构设立审批、备案手续。健全养老托育、社区助餐、家政便民、卫生健康、文化体育等服务机构设立指引。推广实施</w:t>
      </w:r>
      <w:r>
        <w:rPr>
          <w:rFonts w:hint="eastAsia" w:eastAsia="仿宋_GB2312"/>
          <w:snapToGrid w:val="0"/>
          <w:kern w:val="0"/>
          <w:szCs w:val="32"/>
        </w:rPr>
        <w:t>“</w:t>
      </w:r>
      <w:r>
        <w:rPr>
          <w:rFonts w:eastAsia="仿宋_GB2312"/>
          <w:snapToGrid w:val="0"/>
          <w:kern w:val="0"/>
          <w:szCs w:val="32"/>
        </w:rPr>
        <w:t>一照多址</w:t>
      </w:r>
      <w:r>
        <w:rPr>
          <w:rFonts w:hint="eastAsia" w:eastAsia="仿宋_GB2312"/>
          <w:snapToGrid w:val="0"/>
          <w:kern w:val="0"/>
          <w:szCs w:val="32"/>
        </w:rPr>
        <w:t>”</w:t>
      </w:r>
      <w:r>
        <w:rPr>
          <w:rFonts w:eastAsia="仿宋_GB2312"/>
          <w:snapToGrid w:val="0"/>
          <w:kern w:val="0"/>
          <w:szCs w:val="32"/>
        </w:rPr>
        <w:t>，为经营服务主体依法提供便利、规范的登记、许可和备案服务。</w:t>
      </w:r>
    </w:p>
    <w:p>
      <w:pPr>
        <w:pStyle w:val="5"/>
        <w:spacing w:after="0" w:line="600" w:lineRule="exact"/>
        <w:ind w:firstLine="640" w:firstLineChars="200"/>
        <w:rPr>
          <w:rFonts w:eastAsia="仿宋_GB2312"/>
          <w:szCs w:val="32"/>
        </w:rPr>
      </w:pPr>
      <w:r>
        <w:rPr>
          <w:rFonts w:eastAsia="楷体_GB2312"/>
          <w:szCs w:val="32"/>
        </w:rPr>
        <w:t>（五）稳妥推进设施建设。</w:t>
      </w:r>
      <w:r>
        <w:rPr>
          <w:rFonts w:eastAsia="仿宋_GB2312"/>
          <w:szCs w:val="32"/>
        </w:rPr>
        <w:t>要严格按照基本建设程序实施项目建设，要依照建筑工程相关标准和《城市社区嵌入式服务设施建设导则》规定的服务设施建设标准，按照设计方案，统筹考虑噪音扰民、生态环保、施工安全等因素，合理安排工期，确保按时保质完成建设任务。建立由区发改委、资源规划分局、住建局、民政局、卫健局等相关部门参与的联合验收机制，重点对社区嵌入式服务设施建筑整体质量、服务设施配备、安全保障要素等方面进行全面检查，确保工程质量过关、设施齐备、安全可靠。</w:t>
      </w:r>
    </w:p>
    <w:p>
      <w:pPr>
        <w:pStyle w:val="5"/>
        <w:spacing w:after="0" w:line="600" w:lineRule="exact"/>
        <w:ind w:firstLine="640" w:firstLineChars="200"/>
        <w:rPr>
          <w:rFonts w:eastAsia="仿宋_GB2312"/>
          <w:snapToGrid w:val="0"/>
          <w:kern w:val="0"/>
          <w:szCs w:val="32"/>
        </w:rPr>
      </w:pPr>
      <w:r>
        <w:rPr>
          <w:rFonts w:eastAsia="楷体_GB2312"/>
          <w:szCs w:val="32"/>
        </w:rPr>
        <w:t>（六）加强设施系统评估。</w:t>
      </w:r>
      <w:r>
        <w:rPr>
          <w:rFonts w:eastAsia="仿宋_GB2312"/>
          <w:szCs w:val="32"/>
        </w:rPr>
        <w:t>要</w:t>
      </w:r>
      <w:r>
        <w:rPr>
          <w:rFonts w:eastAsia="仿宋_GB2312"/>
          <w:snapToGrid w:val="0"/>
          <w:kern w:val="0"/>
          <w:szCs w:val="32"/>
        </w:rPr>
        <w:t>坚持以群众满意度为重要标准，建立社区嵌入式服务评估体系，定期对设施利用频率、提供服务质量和居民使用意愿及满意度进行评估。对使用频率不高的设施要按照可拓展、可转换、能兼容的要求进行调整优化，对居民使用意愿不强烈、满意度不高的服务项目采取调整服务项目或优化运营模式等方式最大限度满足群众高品质生活的需求。</w:t>
      </w:r>
    </w:p>
    <w:p>
      <w:pPr>
        <w:spacing w:line="600" w:lineRule="exact"/>
        <w:ind w:firstLine="640" w:firstLineChars="200"/>
        <w:rPr>
          <w:szCs w:val="32"/>
        </w:rPr>
      </w:pPr>
      <w:r>
        <w:rPr>
          <w:szCs w:val="32"/>
        </w:rPr>
        <w:t>六、保障措施</w:t>
      </w:r>
    </w:p>
    <w:p>
      <w:pPr>
        <w:spacing w:line="600" w:lineRule="exact"/>
        <w:ind w:firstLine="640" w:firstLineChars="200"/>
        <w:rPr>
          <w:rFonts w:eastAsia="仿宋_GB2312"/>
          <w:szCs w:val="32"/>
        </w:rPr>
      </w:pPr>
      <w:r>
        <w:rPr>
          <w:rFonts w:eastAsia="楷体_GB2312"/>
          <w:szCs w:val="32"/>
        </w:rPr>
        <w:t>（一）压实各级责任</w:t>
      </w:r>
      <w:r>
        <w:rPr>
          <w:rFonts w:eastAsia="仿宋_GB2312"/>
          <w:snapToGrid w:val="0"/>
          <w:kern w:val="0"/>
          <w:szCs w:val="32"/>
        </w:rPr>
        <w:t>。成立区级工作专班，履行指导、考核、奖补职责，负责</w:t>
      </w:r>
      <w:r>
        <w:rPr>
          <w:rFonts w:eastAsia="仿宋_GB2312"/>
          <w:szCs w:val="32"/>
        </w:rPr>
        <w:t>统筹推进和</w:t>
      </w:r>
      <w:r>
        <w:rPr>
          <w:rFonts w:eastAsia="仿宋_GB2312"/>
          <w:snapToGrid w:val="0"/>
          <w:kern w:val="0"/>
          <w:szCs w:val="32"/>
        </w:rPr>
        <w:t>项目</w:t>
      </w:r>
      <w:r>
        <w:rPr>
          <w:rFonts w:eastAsia="仿宋_GB2312"/>
          <w:szCs w:val="32"/>
        </w:rPr>
        <w:t>调度，专班成员单位按照职责分工推进任务落实</w:t>
      </w:r>
      <w:r>
        <w:rPr>
          <w:rFonts w:eastAsia="仿宋_GB2312"/>
          <w:snapToGrid w:val="0"/>
          <w:kern w:val="0"/>
          <w:szCs w:val="32"/>
        </w:rPr>
        <w:t>。</w:t>
      </w:r>
      <w:r>
        <w:rPr>
          <w:rFonts w:eastAsia="仿宋_GB2312"/>
          <w:szCs w:val="32"/>
        </w:rPr>
        <w:t>街道和社区负责摸清底数现状，做好宣传发动</w:t>
      </w:r>
      <w:r>
        <w:rPr>
          <w:rFonts w:hint="eastAsia" w:eastAsia="仿宋_GB2312"/>
          <w:szCs w:val="32"/>
        </w:rPr>
        <w:t>、</w:t>
      </w:r>
      <w:r>
        <w:rPr>
          <w:rFonts w:eastAsia="仿宋_GB2312"/>
          <w:szCs w:val="32"/>
        </w:rPr>
        <w:t>征集群众意愿</w:t>
      </w:r>
      <w:r>
        <w:rPr>
          <w:rFonts w:hint="eastAsia" w:eastAsia="仿宋_GB2312"/>
          <w:szCs w:val="32"/>
        </w:rPr>
        <w:t>、</w:t>
      </w:r>
      <w:r>
        <w:rPr>
          <w:rFonts w:eastAsia="仿宋_GB2312"/>
          <w:szCs w:val="32"/>
        </w:rPr>
        <w:t>提出建设需求</w:t>
      </w:r>
      <w:r>
        <w:rPr>
          <w:rFonts w:hint="eastAsia" w:eastAsia="仿宋_GB2312"/>
          <w:szCs w:val="32"/>
        </w:rPr>
        <w:t>、</w:t>
      </w:r>
      <w:r>
        <w:rPr>
          <w:rFonts w:eastAsia="仿宋_GB2312"/>
          <w:szCs w:val="32"/>
        </w:rPr>
        <w:t>参与建设方案设计</w:t>
      </w:r>
      <w:r>
        <w:rPr>
          <w:rFonts w:hint="eastAsia" w:eastAsia="仿宋_GB2312"/>
          <w:szCs w:val="32"/>
        </w:rPr>
        <w:t>、</w:t>
      </w:r>
      <w:r>
        <w:rPr>
          <w:rFonts w:eastAsia="仿宋_GB2312"/>
          <w:szCs w:val="32"/>
        </w:rPr>
        <w:t>监督和管理服务运营主体</w:t>
      </w:r>
      <w:r>
        <w:rPr>
          <w:rFonts w:hint="eastAsia" w:eastAsia="仿宋_GB2312"/>
          <w:szCs w:val="32"/>
        </w:rPr>
        <w:t>、</w:t>
      </w:r>
      <w:r>
        <w:rPr>
          <w:rFonts w:eastAsia="仿宋_GB2312"/>
          <w:szCs w:val="32"/>
        </w:rPr>
        <w:t>化解处理矛盾纠纷等工作。</w:t>
      </w:r>
    </w:p>
    <w:p>
      <w:pPr>
        <w:spacing w:line="600" w:lineRule="exact"/>
        <w:ind w:firstLine="640" w:firstLineChars="200"/>
        <w:jc w:val="left"/>
        <w:rPr>
          <w:rFonts w:eastAsia="仿宋_GB2312"/>
          <w:snapToGrid w:val="0"/>
          <w:kern w:val="0"/>
          <w:szCs w:val="32"/>
        </w:rPr>
      </w:pPr>
      <w:r>
        <w:rPr>
          <w:rFonts w:eastAsia="楷体_GB2312"/>
          <w:kern w:val="0"/>
          <w:szCs w:val="32"/>
        </w:rPr>
        <w:t>（二）落实资金保障。</w:t>
      </w:r>
      <w:r>
        <w:rPr>
          <w:rFonts w:eastAsia="仿宋_GB2312"/>
          <w:kern w:val="0"/>
          <w:szCs w:val="32"/>
        </w:rPr>
        <w:t>由区发改委牵头，区民政局等部门配合，</w:t>
      </w:r>
      <w:r>
        <w:rPr>
          <w:rFonts w:eastAsia="仿宋_GB2312"/>
          <w:snapToGrid w:val="0"/>
          <w:kern w:val="0"/>
          <w:szCs w:val="32"/>
        </w:rPr>
        <w:t>积极争取社区嵌入式服务设施建设中央预算内资金。根据市级出台的社区嵌入式服务设施建设资金奖励补助办法和项目资金管理使用办法，各相关行业部门要结合实际，依据行业规章制定运营奖励补助办法并抓好落实。</w:t>
      </w:r>
    </w:p>
    <w:p>
      <w:pPr>
        <w:widowControl/>
        <w:spacing w:line="600" w:lineRule="exact"/>
        <w:ind w:firstLine="640" w:firstLineChars="200"/>
        <w:jc w:val="left"/>
        <w:rPr>
          <w:rFonts w:eastAsia="仿宋_GB2312"/>
          <w:snapToGrid w:val="0"/>
          <w:kern w:val="0"/>
          <w:szCs w:val="32"/>
        </w:rPr>
      </w:pPr>
      <w:r>
        <w:rPr>
          <w:rFonts w:eastAsia="楷体_GB2312"/>
          <w:szCs w:val="32"/>
        </w:rPr>
        <w:t>（三）完善政策支持。</w:t>
      </w:r>
      <w:r>
        <w:rPr>
          <w:rFonts w:eastAsia="仿宋_GB2312"/>
          <w:szCs w:val="32"/>
        </w:rPr>
        <w:t>资源规划部门要</w:t>
      </w:r>
      <w:r>
        <w:rPr>
          <w:rFonts w:eastAsia="仿宋_GB2312"/>
          <w:snapToGrid w:val="0"/>
          <w:kern w:val="0"/>
          <w:szCs w:val="32"/>
        </w:rPr>
        <w:t>适当放宽社区嵌入式服务设施土地和规划要求，支持各类主体利用低效闲置用地和商业服务用地等开展社区嵌入式服务，允许政府建设的社区嵌入式</w:t>
      </w:r>
    </w:p>
    <w:p>
      <w:pPr>
        <w:widowControl/>
        <w:spacing w:line="600" w:lineRule="exact"/>
        <w:jc w:val="left"/>
        <w:rPr>
          <w:rFonts w:eastAsia="仿宋_GB2312"/>
        </w:rPr>
      </w:pPr>
      <w:r>
        <w:rPr>
          <w:rFonts w:eastAsia="仿宋_GB2312"/>
          <w:snapToGrid w:val="0"/>
          <w:kern w:val="0"/>
          <w:szCs w:val="32"/>
        </w:rPr>
        <w:t>服务设施</w:t>
      </w:r>
      <w:r>
        <w:rPr>
          <w:rFonts w:hint="eastAsia" w:eastAsia="仿宋_GB2312"/>
          <w:snapToGrid w:val="0"/>
          <w:kern w:val="0"/>
          <w:szCs w:val="32"/>
        </w:rPr>
        <w:t>5</w:t>
      </w:r>
      <w:r>
        <w:rPr>
          <w:rFonts w:eastAsia="仿宋_GB2312"/>
          <w:snapToGrid w:val="0"/>
          <w:kern w:val="0"/>
          <w:szCs w:val="32"/>
        </w:rPr>
        <w:t>年内不变更其原有土地用途。区财政局</w:t>
      </w:r>
      <w:r>
        <w:rPr>
          <w:rFonts w:hint="eastAsia" w:eastAsia="仿宋_GB2312"/>
          <w:snapToGrid w:val="0"/>
          <w:kern w:val="0"/>
          <w:szCs w:val="32"/>
        </w:rPr>
        <w:t>负责</w:t>
      </w:r>
      <w:r>
        <w:rPr>
          <w:rFonts w:eastAsia="仿宋_GB2312"/>
          <w:snapToGrid w:val="0"/>
          <w:kern w:val="0"/>
          <w:szCs w:val="32"/>
        </w:rPr>
        <w:t>研究制定我区国有企业退休人员社会化管理工作补助专项资金使用管理办法，支持社区嵌入式服务设施建设，提高经费使用效能。项目实施要</w:t>
      </w:r>
      <w:r>
        <w:rPr>
          <w:rFonts w:eastAsia="仿宋_GB2312"/>
          <w:szCs w:val="32"/>
        </w:rPr>
        <w:t>落实好国家和我省关于社区嵌入式服务机构各项税费优惠政策</w:t>
      </w:r>
      <w:r>
        <w:rPr>
          <w:rFonts w:eastAsia="仿宋_GB2312"/>
          <w:snapToGrid w:val="0"/>
          <w:kern w:val="0"/>
          <w:szCs w:val="32"/>
        </w:rPr>
        <w:t>，用水、用电、用气、用热及物业收费在符合规定条件下按居民生活类价格执行。市场监管部门要</w:t>
      </w:r>
      <w:r>
        <w:rPr>
          <w:rFonts w:eastAsia="仿宋_GB2312"/>
          <w:kern w:val="0"/>
          <w:szCs w:val="32"/>
        </w:rPr>
        <w:t>加强对社区嵌入式服务机构价格政策执行情况检查，依法严肃查处不执行政府定价、擅自增加收费项目、扩大收费范围、提高收费标准等价格违法违规行为。</w:t>
      </w:r>
    </w:p>
    <w:p>
      <w:pPr>
        <w:spacing w:line="600" w:lineRule="exact"/>
        <w:ind w:firstLine="640" w:firstLineChars="200"/>
      </w:pPr>
      <w:r>
        <w:rPr>
          <w:rFonts w:eastAsia="楷体_GB2312"/>
          <w:szCs w:val="32"/>
        </w:rPr>
        <w:t>（四）加大宣传引导。</w:t>
      </w:r>
      <w:r>
        <w:rPr>
          <w:rFonts w:eastAsia="仿宋_GB2312"/>
          <w:szCs w:val="32"/>
        </w:rPr>
        <w:t>要</w:t>
      </w:r>
      <w:r>
        <w:rPr>
          <w:rFonts w:eastAsia="仿宋_GB2312"/>
          <w:szCs w:val="36"/>
        </w:rPr>
        <w:t>通过社区公示栏、LED屏、微信群等</w:t>
      </w:r>
      <w:r>
        <w:rPr>
          <w:rFonts w:eastAsia="仿宋_GB2312"/>
          <w:szCs w:val="32"/>
        </w:rPr>
        <w:t>方式加强政策解读和宣传，让社区群众了解知晓</w:t>
      </w:r>
      <w:r>
        <w:rPr>
          <w:rFonts w:eastAsia="仿宋_GB2312"/>
          <w:snapToGrid w:val="0"/>
          <w:kern w:val="0"/>
          <w:szCs w:val="32"/>
        </w:rPr>
        <w:t>嵌入式服务设施建设的重要意义和现实价值，引导居民支持建设、配合建设，引导各类企事业单位和社会组织积极主动参与建设运营。加强对优质示范试点项目的宣传，形成带动效应，营造社会各界支持、群众积极参与的良好氛围。</w:t>
      </w:r>
    </w:p>
    <w:p>
      <w:pPr>
        <w:spacing w:line="600" w:lineRule="exact"/>
        <w:ind w:left="1980" w:leftChars="200" w:hanging="1340" w:hangingChars="419"/>
        <w:rPr>
          <w:rFonts w:eastAsia="仿宋_GB2312"/>
          <w:szCs w:val="32"/>
        </w:rPr>
      </w:pPr>
    </w:p>
    <w:p>
      <w:pPr>
        <w:spacing w:line="600" w:lineRule="exact"/>
        <w:ind w:left="1980" w:leftChars="200" w:hanging="1340" w:hangingChars="419"/>
        <w:rPr>
          <w:rFonts w:eastAsia="仿宋_GB2312"/>
          <w:szCs w:val="32"/>
        </w:rPr>
      </w:pPr>
      <w:r>
        <w:rPr>
          <w:rFonts w:eastAsia="仿宋_GB2312"/>
          <w:szCs w:val="32"/>
        </w:rPr>
        <w:t>附件：1. 西安市临潼区城市社区嵌入式服务设施建设工作专班组</w:t>
      </w:r>
      <w:r>
        <w:rPr>
          <w:rFonts w:hint="eastAsia" w:eastAsia="仿宋_GB2312"/>
          <w:szCs w:val="32"/>
        </w:rPr>
        <w:t>成及职责</w:t>
      </w:r>
    </w:p>
    <w:p>
      <w:pPr>
        <w:numPr>
          <w:ilvl w:val="0"/>
          <w:numId w:val="3"/>
        </w:numPr>
        <w:spacing w:line="600" w:lineRule="exact"/>
        <w:ind w:firstLine="1600" w:firstLineChars="500"/>
        <w:rPr>
          <w:rFonts w:eastAsia="仿宋_GB2312"/>
          <w:kern w:val="0"/>
          <w:szCs w:val="32"/>
        </w:rPr>
      </w:pPr>
      <w:r>
        <w:rPr>
          <w:rFonts w:eastAsia="仿宋_GB2312"/>
          <w:kern w:val="0"/>
          <w:szCs w:val="32"/>
        </w:rPr>
        <w:t>西安市临潼区社区嵌入式服务设施建设工程项目</w:t>
      </w:r>
    </w:p>
    <w:p>
      <w:pPr>
        <w:spacing w:line="600" w:lineRule="exact"/>
        <w:ind w:firstLine="1980" w:firstLineChars="619"/>
        <w:rPr>
          <w:rFonts w:eastAsia="仿宋_GB2312"/>
          <w:kern w:val="0"/>
          <w:szCs w:val="32"/>
        </w:rPr>
      </w:pPr>
      <w:r>
        <w:rPr>
          <w:rFonts w:eastAsia="仿宋_GB2312"/>
          <w:kern w:val="0"/>
          <w:szCs w:val="32"/>
        </w:rPr>
        <w:t>名单</w:t>
      </w:r>
      <w:r>
        <w:rPr>
          <w:rFonts w:hint="eastAsia" w:eastAsia="仿宋_GB2312"/>
          <w:kern w:val="0"/>
          <w:szCs w:val="32"/>
        </w:rPr>
        <w:t>（国家试点项目）</w:t>
      </w:r>
    </w:p>
    <w:p>
      <w:pPr>
        <w:pStyle w:val="5"/>
        <w:spacing w:after="0" w:line="600" w:lineRule="exact"/>
        <w:rPr>
          <w:szCs w:val="32"/>
        </w:rPr>
      </w:pPr>
    </w:p>
    <w:p>
      <w:pPr>
        <w:pStyle w:val="5"/>
        <w:spacing w:after="0" w:line="600" w:lineRule="exact"/>
        <w:rPr>
          <w:rFonts w:hint="eastAsia"/>
          <w:szCs w:val="32"/>
        </w:rPr>
      </w:pPr>
    </w:p>
    <w:p>
      <w:pPr>
        <w:rPr>
          <w:rFonts w:hint="eastAsia"/>
        </w:rPr>
      </w:pPr>
    </w:p>
    <w:p>
      <w:pPr>
        <w:rPr>
          <w:rFonts w:hint="eastAsia"/>
        </w:rPr>
      </w:pPr>
    </w:p>
    <w:p>
      <w:pPr>
        <w:pStyle w:val="5"/>
        <w:spacing w:after="0" w:line="600" w:lineRule="exact"/>
        <w:rPr>
          <w:szCs w:val="32"/>
        </w:rPr>
      </w:pPr>
      <w:r>
        <w:rPr>
          <w:szCs w:val="32"/>
        </w:rPr>
        <w:t>附件1</w:t>
      </w:r>
    </w:p>
    <w:p>
      <w:pPr>
        <w:spacing w:line="600" w:lineRule="exact"/>
        <w:ind w:firstLine="720" w:firstLineChars="200"/>
        <w:rPr>
          <w:rFonts w:eastAsia="方正小标宋简体"/>
          <w:sz w:val="36"/>
          <w:szCs w:val="36"/>
        </w:rPr>
      </w:pPr>
    </w:p>
    <w:p>
      <w:pPr>
        <w:spacing w:line="600" w:lineRule="exact"/>
        <w:jc w:val="center"/>
        <w:rPr>
          <w:rFonts w:eastAsia="方正小标宋简体"/>
          <w:sz w:val="44"/>
          <w:szCs w:val="44"/>
        </w:rPr>
      </w:pPr>
      <w:r>
        <w:rPr>
          <w:rFonts w:eastAsia="方正小标宋简体"/>
          <w:sz w:val="44"/>
          <w:szCs w:val="44"/>
        </w:rPr>
        <w:t>西安市临潼区城市社区嵌入式服务设施</w:t>
      </w:r>
    </w:p>
    <w:p>
      <w:pPr>
        <w:spacing w:line="600" w:lineRule="exact"/>
        <w:jc w:val="center"/>
        <w:rPr>
          <w:rFonts w:eastAsia="方正小标宋简体"/>
          <w:sz w:val="44"/>
          <w:szCs w:val="44"/>
        </w:rPr>
      </w:pPr>
      <w:r>
        <w:rPr>
          <w:rFonts w:eastAsia="方正小标宋简体"/>
          <w:sz w:val="44"/>
          <w:szCs w:val="44"/>
        </w:rPr>
        <w:t>建设工作专班组</w:t>
      </w:r>
      <w:r>
        <w:rPr>
          <w:rFonts w:hint="eastAsia" w:eastAsia="方正小标宋简体"/>
          <w:sz w:val="44"/>
          <w:szCs w:val="44"/>
        </w:rPr>
        <w:t>成及职责</w:t>
      </w:r>
    </w:p>
    <w:p>
      <w:pPr>
        <w:spacing w:line="600" w:lineRule="exact"/>
        <w:ind w:firstLine="640" w:firstLineChars="200"/>
        <w:rPr>
          <w:rFonts w:eastAsia="仿宋_GB2312"/>
          <w:szCs w:val="32"/>
        </w:rPr>
      </w:pPr>
    </w:p>
    <w:p>
      <w:pPr>
        <w:spacing w:line="600" w:lineRule="exact"/>
        <w:ind w:firstLine="640" w:firstLineChars="200"/>
        <w:rPr>
          <w:rFonts w:eastAsia="仿宋_GB2312"/>
          <w:szCs w:val="32"/>
        </w:rPr>
      </w:pPr>
      <w:r>
        <w:rPr>
          <w:rFonts w:eastAsia="仿宋_GB2312"/>
          <w:szCs w:val="32"/>
        </w:rPr>
        <w:t>为贯彻落实国务院办公厅关于转发国家发展改革委《城市社区嵌入式服务设施建设工程实施方案》</w:t>
      </w:r>
      <w:r>
        <w:rPr>
          <w:rFonts w:eastAsia="仿宋_GB2312"/>
          <w:kern w:val="0"/>
          <w:szCs w:val="32"/>
          <w:lang w:val="zh-CN"/>
        </w:rPr>
        <w:t>（国办函〔2023〕</w:t>
      </w:r>
      <w:r>
        <w:rPr>
          <w:rFonts w:eastAsia="仿宋_GB2312"/>
          <w:kern w:val="0"/>
          <w:szCs w:val="32"/>
        </w:rPr>
        <w:t>121</w:t>
      </w:r>
      <w:r>
        <w:rPr>
          <w:rFonts w:eastAsia="仿宋_GB2312"/>
          <w:kern w:val="0"/>
          <w:szCs w:val="32"/>
          <w:lang w:val="zh-CN"/>
        </w:rPr>
        <w:t>号）、</w:t>
      </w:r>
      <w:r>
        <w:rPr>
          <w:rFonts w:eastAsia="仿宋_GB2312"/>
          <w:szCs w:val="32"/>
        </w:rPr>
        <w:t>西安市人民政府办公厅印发的《城市社区嵌入式服务设施建设工程实施方案》（市政办函〔2024〕19号）要求，推进全区社区嵌入式服务设施建设，建立临潼区城市社区嵌入式服务设施建设工作专班。</w:t>
      </w:r>
    </w:p>
    <w:p>
      <w:pPr>
        <w:spacing w:line="600" w:lineRule="exact"/>
        <w:ind w:firstLine="657"/>
        <w:rPr>
          <w:rFonts w:eastAsia="仿宋_GB2312"/>
          <w:szCs w:val="32"/>
        </w:rPr>
      </w:pPr>
      <w:r>
        <w:rPr>
          <w:szCs w:val="32"/>
        </w:rPr>
        <w:t>一、组成人员</w:t>
      </w:r>
    </w:p>
    <w:p>
      <w:pPr>
        <w:spacing w:line="600" w:lineRule="exact"/>
        <w:ind w:firstLine="640"/>
        <w:rPr>
          <w:rFonts w:eastAsia="仿宋_GB2312"/>
          <w:szCs w:val="32"/>
        </w:rPr>
      </w:pPr>
      <w:r>
        <w:rPr>
          <w:rFonts w:eastAsia="仿宋_GB2312"/>
          <w:szCs w:val="32"/>
        </w:rPr>
        <w:t>组      长：苗</w:t>
      </w:r>
      <w:r>
        <w:rPr>
          <w:rFonts w:hint="eastAsia" w:eastAsia="仿宋_GB2312"/>
          <w:szCs w:val="32"/>
        </w:rPr>
        <w:t xml:space="preserve">  </w:t>
      </w:r>
      <w:r>
        <w:rPr>
          <w:rFonts w:eastAsia="仿宋_GB2312"/>
          <w:szCs w:val="32"/>
        </w:rPr>
        <w:t>吉</w:t>
      </w:r>
      <w:r>
        <w:rPr>
          <w:rFonts w:hint="eastAsia" w:eastAsia="仿宋_GB2312"/>
          <w:szCs w:val="32"/>
        </w:rPr>
        <w:t xml:space="preserve">  </w:t>
      </w:r>
      <w:r>
        <w:rPr>
          <w:rFonts w:eastAsia="仿宋_GB2312"/>
          <w:szCs w:val="32"/>
        </w:rPr>
        <w:t>区长</w:t>
      </w:r>
    </w:p>
    <w:p>
      <w:pPr>
        <w:spacing w:line="600" w:lineRule="exact"/>
        <w:ind w:firstLine="640"/>
        <w:rPr>
          <w:rFonts w:eastAsia="仿宋_GB2312"/>
          <w:szCs w:val="32"/>
        </w:rPr>
      </w:pPr>
      <w:r>
        <w:rPr>
          <w:rFonts w:eastAsia="仿宋_GB2312"/>
          <w:szCs w:val="32"/>
        </w:rPr>
        <w:t>常务副组长：薛</w:t>
      </w:r>
      <w:r>
        <w:rPr>
          <w:rFonts w:hint="eastAsia" w:eastAsia="仿宋_GB2312"/>
          <w:szCs w:val="32"/>
        </w:rPr>
        <w:t xml:space="preserve">  </w:t>
      </w:r>
      <w:r>
        <w:rPr>
          <w:rFonts w:eastAsia="仿宋_GB2312"/>
          <w:szCs w:val="32"/>
        </w:rPr>
        <w:t>凡</w:t>
      </w:r>
      <w:r>
        <w:rPr>
          <w:rFonts w:hint="eastAsia" w:eastAsia="仿宋_GB2312"/>
          <w:szCs w:val="32"/>
        </w:rPr>
        <w:t xml:space="preserve">  </w:t>
      </w:r>
      <w:r>
        <w:rPr>
          <w:rFonts w:eastAsia="仿宋_GB2312"/>
          <w:szCs w:val="32"/>
        </w:rPr>
        <w:t>副区长</w:t>
      </w:r>
    </w:p>
    <w:p>
      <w:pPr>
        <w:spacing w:line="600" w:lineRule="exact"/>
        <w:ind w:firstLine="640"/>
        <w:rPr>
          <w:rFonts w:eastAsia="仿宋_GB2312"/>
          <w:szCs w:val="32"/>
        </w:rPr>
      </w:pPr>
      <w:r>
        <w:rPr>
          <w:rFonts w:eastAsia="仿宋_GB2312"/>
          <w:szCs w:val="32"/>
        </w:rPr>
        <w:t>副  组  长：袁</w:t>
      </w:r>
      <w:r>
        <w:rPr>
          <w:rFonts w:hint="eastAsia" w:eastAsia="仿宋_GB2312"/>
          <w:szCs w:val="32"/>
        </w:rPr>
        <w:t xml:space="preserve">  </w:t>
      </w:r>
      <w:r>
        <w:rPr>
          <w:rFonts w:eastAsia="仿宋_GB2312"/>
          <w:szCs w:val="32"/>
        </w:rPr>
        <w:t>敏</w:t>
      </w:r>
      <w:r>
        <w:rPr>
          <w:rFonts w:hint="eastAsia" w:eastAsia="仿宋_GB2312"/>
          <w:szCs w:val="32"/>
        </w:rPr>
        <w:t xml:space="preserve">  </w:t>
      </w:r>
      <w:r>
        <w:rPr>
          <w:rFonts w:eastAsia="仿宋_GB2312"/>
          <w:szCs w:val="32"/>
        </w:rPr>
        <w:t>区政府办公室副主任</w:t>
      </w:r>
    </w:p>
    <w:p>
      <w:pPr>
        <w:spacing w:line="600" w:lineRule="exact"/>
        <w:ind w:firstLine="2560" w:firstLineChars="800"/>
        <w:rPr>
          <w:rFonts w:hint="eastAsia" w:eastAsia="仿宋_GB2312"/>
          <w:szCs w:val="32"/>
        </w:rPr>
      </w:pPr>
      <w:r>
        <w:rPr>
          <w:rFonts w:eastAsia="仿宋_GB2312"/>
          <w:szCs w:val="32"/>
        </w:rPr>
        <w:t>杨</w:t>
      </w:r>
      <w:r>
        <w:rPr>
          <w:rFonts w:hint="eastAsia" w:eastAsia="仿宋_GB2312"/>
          <w:szCs w:val="32"/>
        </w:rPr>
        <w:t xml:space="preserve">  </w:t>
      </w:r>
      <w:r>
        <w:rPr>
          <w:rFonts w:eastAsia="仿宋_GB2312"/>
          <w:szCs w:val="32"/>
        </w:rPr>
        <w:t>海</w:t>
      </w:r>
      <w:r>
        <w:rPr>
          <w:rFonts w:hint="eastAsia" w:eastAsia="仿宋_GB2312"/>
          <w:szCs w:val="32"/>
        </w:rPr>
        <w:t xml:space="preserve">  </w:t>
      </w:r>
      <w:r>
        <w:rPr>
          <w:rFonts w:eastAsia="仿宋_GB2312"/>
          <w:szCs w:val="32"/>
        </w:rPr>
        <w:t>区民政局局长</w:t>
      </w:r>
    </w:p>
    <w:p>
      <w:pPr>
        <w:spacing w:line="600" w:lineRule="exact"/>
        <w:ind w:firstLine="2560" w:firstLineChars="800"/>
        <w:rPr>
          <w:rFonts w:hint="eastAsia" w:eastAsia="仿宋_GB2312"/>
          <w:szCs w:val="32"/>
        </w:rPr>
      </w:pPr>
      <w:r>
        <w:rPr>
          <w:rFonts w:eastAsia="仿宋_GB2312"/>
          <w:szCs w:val="32"/>
        </w:rPr>
        <w:t>曹少团</w:t>
      </w:r>
      <w:r>
        <w:rPr>
          <w:rFonts w:hint="eastAsia" w:eastAsia="仿宋_GB2312"/>
          <w:szCs w:val="32"/>
        </w:rPr>
        <w:t xml:space="preserve">  </w:t>
      </w:r>
      <w:r>
        <w:rPr>
          <w:rFonts w:eastAsia="仿宋_GB2312"/>
          <w:szCs w:val="32"/>
        </w:rPr>
        <w:t>区发改委主任</w:t>
      </w:r>
    </w:p>
    <w:p>
      <w:pPr>
        <w:spacing w:line="600" w:lineRule="exact"/>
        <w:ind w:firstLine="2560" w:firstLineChars="800"/>
        <w:rPr>
          <w:rFonts w:hint="eastAsia" w:eastAsia="仿宋_GB2312"/>
          <w:szCs w:val="32"/>
        </w:rPr>
      </w:pPr>
      <w:r>
        <w:rPr>
          <w:rFonts w:eastAsia="仿宋_GB2312"/>
          <w:szCs w:val="32"/>
        </w:rPr>
        <w:t>王卫江</w:t>
      </w:r>
      <w:r>
        <w:rPr>
          <w:rFonts w:hint="eastAsia" w:eastAsia="仿宋_GB2312"/>
          <w:szCs w:val="32"/>
        </w:rPr>
        <w:t xml:space="preserve">  </w:t>
      </w:r>
      <w:r>
        <w:rPr>
          <w:rFonts w:eastAsia="仿宋_GB2312"/>
          <w:szCs w:val="32"/>
        </w:rPr>
        <w:t>区住建局局长</w:t>
      </w:r>
    </w:p>
    <w:p>
      <w:pPr>
        <w:spacing w:line="600" w:lineRule="exact"/>
        <w:ind w:firstLine="2560" w:firstLineChars="800"/>
        <w:rPr>
          <w:rStyle w:val="11"/>
          <w:rFonts w:hint="eastAsia" w:eastAsia="仿宋_GB2312"/>
          <w:szCs w:val="32"/>
        </w:rPr>
      </w:pPr>
      <w:r>
        <w:rPr>
          <w:rStyle w:val="11"/>
          <w:rFonts w:eastAsia="仿宋_GB2312"/>
          <w:szCs w:val="32"/>
        </w:rPr>
        <w:t>马</w:t>
      </w:r>
      <w:r>
        <w:rPr>
          <w:rStyle w:val="11"/>
          <w:rFonts w:hint="eastAsia" w:eastAsia="仿宋_GB2312"/>
          <w:szCs w:val="32"/>
        </w:rPr>
        <w:t xml:space="preserve">  </w:t>
      </w:r>
      <w:r>
        <w:rPr>
          <w:rStyle w:val="11"/>
          <w:rFonts w:eastAsia="仿宋_GB2312"/>
          <w:szCs w:val="32"/>
        </w:rPr>
        <w:t>翔</w:t>
      </w:r>
      <w:r>
        <w:rPr>
          <w:rStyle w:val="11"/>
          <w:rFonts w:hint="eastAsia" w:eastAsia="仿宋_GB2312"/>
          <w:szCs w:val="32"/>
        </w:rPr>
        <w:t xml:space="preserve">  </w:t>
      </w:r>
      <w:r>
        <w:rPr>
          <w:rStyle w:val="11"/>
          <w:rFonts w:eastAsia="仿宋_GB2312"/>
          <w:szCs w:val="32"/>
        </w:rPr>
        <w:t>资源规划</w:t>
      </w:r>
      <w:r>
        <w:rPr>
          <w:rStyle w:val="11"/>
          <w:rFonts w:hint="eastAsia" w:eastAsia="仿宋_GB2312"/>
          <w:szCs w:val="32"/>
        </w:rPr>
        <w:t>分</w:t>
      </w:r>
      <w:r>
        <w:rPr>
          <w:rStyle w:val="11"/>
          <w:rFonts w:eastAsia="仿宋_GB2312"/>
          <w:szCs w:val="32"/>
        </w:rPr>
        <w:t>局局长</w:t>
      </w:r>
    </w:p>
    <w:p>
      <w:pPr>
        <w:spacing w:line="600" w:lineRule="exact"/>
        <w:ind w:firstLine="640" w:firstLineChars="200"/>
        <w:rPr>
          <w:rStyle w:val="11"/>
          <w:rFonts w:eastAsia="仿宋_GB2312"/>
          <w:szCs w:val="32"/>
        </w:rPr>
      </w:pPr>
      <w:r>
        <w:rPr>
          <w:rFonts w:eastAsia="仿宋_GB2312"/>
          <w:szCs w:val="32"/>
        </w:rPr>
        <w:t>成      员：王晓宇</w:t>
      </w:r>
      <w:r>
        <w:rPr>
          <w:rFonts w:hint="eastAsia" w:eastAsia="仿宋_GB2312"/>
          <w:szCs w:val="32"/>
        </w:rPr>
        <w:t xml:space="preserve">  </w:t>
      </w:r>
      <w:r>
        <w:rPr>
          <w:rFonts w:eastAsia="仿宋_GB2312"/>
          <w:szCs w:val="32"/>
        </w:rPr>
        <w:t>区</w:t>
      </w:r>
      <w:r>
        <w:rPr>
          <w:rStyle w:val="11"/>
          <w:rFonts w:eastAsia="仿宋_GB2312"/>
          <w:szCs w:val="32"/>
        </w:rPr>
        <w:t>教育局局长</w:t>
      </w:r>
    </w:p>
    <w:p>
      <w:pPr>
        <w:spacing w:line="600" w:lineRule="exact"/>
        <w:ind w:firstLine="2560" w:firstLineChars="800"/>
        <w:rPr>
          <w:rStyle w:val="11"/>
          <w:rFonts w:eastAsia="仿宋_GB2312"/>
          <w:szCs w:val="32"/>
        </w:rPr>
      </w:pPr>
      <w:r>
        <w:rPr>
          <w:rFonts w:eastAsia="仿宋_GB2312"/>
          <w:szCs w:val="32"/>
        </w:rPr>
        <w:t>樊向阳</w:t>
      </w:r>
      <w:r>
        <w:rPr>
          <w:rFonts w:hint="eastAsia" w:eastAsia="仿宋_GB2312"/>
          <w:szCs w:val="32"/>
        </w:rPr>
        <w:t xml:space="preserve">  </w:t>
      </w:r>
      <w:r>
        <w:rPr>
          <w:rFonts w:eastAsia="仿宋_GB2312"/>
          <w:szCs w:val="32"/>
        </w:rPr>
        <w:t>区</w:t>
      </w:r>
      <w:r>
        <w:rPr>
          <w:rStyle w:val="11"/>
          <w:rFonts w:eastAsia="仿宋_GB2312"/>
          <w:szCs w:val="32"/>
        </w:rPr>
        <w:t>财政局局长</w:t>
      </w:r>
    </w:p>
    <w:p>
      <w:pPr>
        <w:spacing w:line="600" w:lineRule="exact"/>
        <w:ind w:firstLine="2560" w:firstLineChars="800"/>
        <w:rPr>
          <w:rStyle w:val="11"/>
          <w:rFonts w:hint="eastAsia" w:eastAsia="仿宋_GB2312"/>
          <w:szCs w:val="32"/>
        </w:rPr>
      </w:pPr>
      <w:r>
        <w:rPr>
          <w:rFonts w:eastAsia="仿宋_GB2312"/>
          <w:szCs w:val="32"/>
        </w:rPr>
        <w:t>谭志恒</w:t>
      </w:r>
      <w:r>
        <w:rPr>
          <w:rFonts w:hint="eastAsia" w:eastAsia="仿宋_GB2312"/>
          <w:szCs w:val="32"/>
        </w:rPr>
        <w:t xml:space="preserve">  </w:t>
      </w:r>
      <w:r>
        <w:rPr>
          <w:rFonts w:eastAsia="仿宋_GB2312"/>
          <w:szCs w:val="32"/>
        </w:rPr>
        <w:t>区科工商务</w:t>
      </w:r>
      <w:r>
        <w:rPr>
          <w:rStyle w:val="11"/>
          <w:rFonts w:eastAsia="仿宋_GB2312"/>
          <w:szCs w:val="32"/>
        </w:rPr>
        <w:t>局局长</w:t>
      </w:r>
    </w:p>
    <w:p>
      <w:pPr>
        <w:spacing w:line="600" w:lineRule="exact"/>
        <w:ind w:firstLine="2560" w:firstLineChars="800"/>
        <w:rPr>
          <w:rStyle w:val="11"/>
          <w:rFonts w:eastAsia="仿宋_GB2312"/>
          <w:szCs w:val="32"/>
        </w:rPr>
      </w:pPr>
      <w:r>
        <w:rPr>
          <w:rStyle w:val="11"/>
          <w:rFonts w:eastAsia="仿宋_GB2312"/>
          <w:szCs w:val="32"/>
        </w:rPr>
        <w:t>段</w:t>
      </w:r>
      <w:r>
        <w:rPr>
          <w:rStyle w:val="11"/>
          <w:rFonts w:hint="eastAsia" w:eastAsia="仿宋_GB2312"/>
          <w:szCs w:val="32"/>
        </w:rPr>
        <w:t xml:space="preserve">  </w:t>
      </w:r>
      <w:r>
        <w:rPr>
          <w:rStyle w:val="11"/>
          <w:rFonts w:eastAsia="仿宋_GB2312"/>
          <w:szCs w:val="32"/>
        </w:rPr>
        <w:t>明</w:t>
      </w:r>
      <w:r>
        <w:rPr>
          <w:rStyle w:val="11"/>
          <w:rFonts w:hint="eastAsia" w:eastAsia="仿宋_GB2312"/>
          <w:szCs w:val="32"/>
        </w:rPr>
        <w:t xml:space="preserve">  </w:t>
      </w:r>
      <w:r>
        <w:rPr>
          <w:rStyle w:val="11"/>
          <w:rFonts w:eastAsia="仿宋_GB2312"/>
          <w:szCs w:val="32"/>
        </w:rPr>
        <w:t>区文化旅游局局长</w:t>
      </w:r>
    </w:p>
    <w:p>
      <w:pPr>
        <w:spacing w:line="600" w:lineRule="exact"/>
        <w:ind w:firstLine="2560" w:firstLineChars="800"/>
        <w:rPr>
          <w:rStyle w:val="11"/>
          <w:rFonts w:hint="eastAsia" w:eastAsia="仿宋_GB2312"/>
          <w:szCs w:val="32"/>
        </w:rPr>
      </w:pPr>
      <w:r>
        <w:rPr>
          <w:rStyle w:val="11"/>
          <w:rFonts w:eastAsia="仿宋_GB2312"/>
          <w:szCs w:val="32"/>
        </w:rPr>
        <w:t>孙尖尖</w:t>
      </w:r>
      <w:r>
        <w:rPr>
          <w:rStyle w:val="11"/>
          <w:rFonts w:hint="eastAsia" w:eastAsia="仿宋_GB2312"/>
          <w:szCs w:val="32"/>
        </w:rPr>
        <w:t xml:space="preserve">  </w:t>
      </w:r>
      <w:r>
        <w:rPr>
          <w:rStyle w:val="11"/>
          <w:rFonts w:eastAsia="仿宋_GB2312"/>
          <w:szCs w:val="32"/>
        </w:rPr>
        <w:t>区卫生健康局局长</w:t>
      </w:r>
    </w:p>
    <w:p>
      <w:pPr>
        <w:spacing w:line="600" w:lineRule="exact"/>
        <w:ind w:firstLine="2560" w:firstLineChars="800"/>
        <w:rPr>
          <w:rFonts w:eastAsia="仿宋_GB2312"/>
          <w:szCs w:val="32"/>
        </w:rPr>
      </w:pPr>
      <w:r>
        <w:rPr>
          <w:rStyle w:val="11"/>
          <w:rFonts w:eastAsia="仿宋_GB2312"/>
          <w:szCs w:val="32"/>
        </w:rPr>
        <w:t>张军科</w:t>
      </w:r>
      <w:r>
        <w:rPr>
          <w:rStyle w:val="11"/>
          <w:rFonts w:hint="eastAsia" w:eastAsia="仿宋_GB2312"/>
          <w:szCs w:val="32"/>
        </w:rPr>
        <w:t xml:space="preserve">  </w:t>
      </w:r>
      <w:r>
        <w:rPr>
          <w:rFonts w:eastAsia="仿宋_GB2312"/>
          <w:szCs w:val="32"/>
        </w:rPr>
        <w:t>区市场监管局局长</w:t>
      </w:r>
    </w:p>
    <w:p>
      <w:pPr>
        <w:spacing w:line="600" w:lineRule="exact"/>
        <w:ind w:firstLine="2560" w:firstLineChars="800"/>
        <w:rPr>
          <w:rStyle w:val="11"/>
          <w:rFonts w:eastAsia="仿宋_GB2312"/>
          <w:szCs w:val="32"/>
        </w:rPr>
      </w:pPr>
      <w:r>
        <w:rPr>
          <w:rStyle w:val="11"/>
          <w:rFonts w:eastAsia="仿宋_GB2312"/>
          <w:szCs w:val="32"/>
        </w:rPr>
        <w:t>丁</w:t>
      </w:r>
      <w:r>
        <w:rPr>
          <w:rStyle w:val="11"/>
          <w:rFonts w:hint="eastAsia" w:eastAsia="仿宋_GB2312"/>
          <w:szCs w:val="32"/>
        </w:rPr>
        <w:t xml:space="preserve">  </w:t>
      </w:r>
      <w:r>
        <w:rPr>
          <w:rStyle w:val="11"/>
          <w:rFonts w:eastAsia="仿宋_GB2312"/>
          <w:szCs w:val="32"/>
        </w:rPr>
        <w:t>雁</w:t>
      </w:r>
      <w:r>
        <w:rPr>
          <w:rStyle w:val="11"/>
          <w:rFonts w:hint="eastAsia" w:eastAsia="仿宋_GB2312"/>
          <w:szCs w:val="32"/>
        </w:rPr>
        <w:t xml:space="preserve">  </w:t>
      </w:r>
      <w:r>
        <w:rPr>
          <w:rStyle w:val="11"/>
          <w:rFonts w:eastAsia="仿宋_GB2312"/>
          <w:szCs w:val="32"/>
        </w:rPr>
        <w:t>区</w:t>
      </w:r>
      <w:r>
        <w:rPr>
          <w:rFonts w:eastAsia="仿宋_GB2312"/>
          <w:szCs w:val="32"/>
        </w:rPr>
        <w:t>税务局局长</w:t>
      </w:r>
      <w:bookmarkStart w:id="0" w:name="_GoBack"/>
      <w:bookmarkEnd w:id="0"/>
    </w:p>
    <w:p>
      <w:pPr>
        <w:spacing w:line="600" w:lineRule="exact"/>
        <w:ind w:firstLine="2560" w:firstLineChars="800"/>
        <w:rPr>
          <w:rFonts w:eastAsia="仿宋_GB2312"/>
          <w:szCs w:val="32"/>
        </w:rPr>
      </w:pPr>
      <w:r>
        <w:rPr>
          <w:rStyle w:val="11"/>
          <w:rFonts w:eastAsia="仿宋_GB2312"/>
          <w:szCs w:val="32"/>
        </w:rPr>
        <w:t>张卫峰</w:t>
      </w:r>
      <w:r>
        <w:rPr>
          <w:rStyle w:val="11"/>
          <w:rFonts w:hint="eastAsia" w:eastAsia="仿宋_GB2312"/>
          <w:szCs w:val="32"/>
        </w:rPr>
        <w:t xml:space="preserve">  </w:t>
      </w:r>
      <w:r>
        <w:rPr>
          <w:rStyle w:val="11"/>
          <w:rFonts w:eastAsia="仿宋_GB2312"/>
          <w:szCs w:val="32"/>
        </w:rPr>
        <w:t>区</w:t>
      </w:r>
      <w:r>
        <w:rPr>
          <w:rFonts w:eastAsia="仿宋_GB2312"/>
          <w:szCs w:val="32"/>
        </w:rPr>
        <w:t>机关事务</w:t>
      </w:r>
      <w:r>
        <w:rPr>
          <w:rFonts w:hint="eastAsia" w:eastAsia="仿宋_GB2312"/>
          <w:szCs w:val="32"/>
        </w:rPr>
        <w:t>服务中心主任</w:t>
      </w:r>
    </w:p>
    <w:p>
      <w:pPr>
        <w:spacing w:line="600" w:lineRule="exact"/>
        <w:ind w:firstLine="2560" w:firstLineChars="800"/>
        <w:rPr>
          <w:rStyle w:val="11"/>
          <w:rFonts w:eastAsia="仿宋_GB2312"/>
          <w:szCs w:val="32"/>
        </w:rPr>
      </w:pPr>
      <w:r>
        <w:rPr>
          <w:rStyle w:val="11"/>
          <w:rFonts w:eastAsia="仿宋_GB2312"/>
          <w:szCs w:val="32"/>
        </w:rPr>
        <w:t>徐</w:t>
      </w:r>
      <w:r>
        <w:rPr>
          <w:rStyle w:val="11"/>
          <w:rFonts w:hint="eastAsia" w:eastAsia="仿宋_GB2312"/>
          <w:szCs w:val="32"/>
        </w:rPr>
        <w:t xml:space="preserve">  </w:t>
      </w:r>
      <w:r>
        <w:rPr>
          <w:rStyle w:val="11"/>
          <w:rFonts w:eastAsia="仿宋_GB2312"/>
          <w:szCs w:val="32"/>
        </w:rPr>
        <w:t>玺</w:t>
      </w:r>
      <w:r>
        <w:rPr>
          <w:rStyle w:val="11"/>
          <w:rFonts w:hint="eastAsia" w:eastAsia="仿宋_GB2312"/>
          <w:szCs w:val="32"/>
        </w:rPr>
        <w:t xml:space="preserve">  </w:t>
      </w:r>
      <w:r>
        <w:rPr>
          <w:rStyle w:val="11"/>
          <w:rFonts w:eastAsia="仿宋_GB2312"/>
          <w:szCs w:val="32"/>
        </w:rPr>
        <w:t>区消防救援</w:t>
      </w:r>
      <w:r>
        <w:rPr>
          <w:rStyle w:val="11"/>
          <w:rFonts w:hint="eastAsia" w:eastAsia="仿宋_GB2312"/>
          <w:szCs w:val="32"/>
        </w:rPr>
        <w:t>大</w:t>
      </w:r>
      <w:r>
        <w:rPr>
          <w:rStyle w:val="11"/>
          <w:rFonts w:eastAsia="仿宋_GB2312"/>
          <w:szCs w:val="32"/>
        </w:rPr>
        <w:t>队</w:t>
      </w:r>
      <w:r>
        <w:rPr>
          <w:rStyle w:val="11"/>
          <w:rFonts w:hint="eastAsia" w:eastAsia="仿宋_GB2312"/>
          <w:szCs w:val="32"/>
        </w:rPr>
        <w:t>大</w:t>
      </w:r>
      <w:r>
        <w:rPr>
          <w:rStyle w:val="11"/>
          <w:rFonts w:eastAsia="仿宋_GB2312"/>
          <w:szCs w:val="32"/>
        </w:rPr>
        <w:t>队长</w:t>
      </w:r>
    </w:p>
    <w:p>
      <w:pPr>
        <w:spacing w:line="600" w:lineRule="exact"/>
        <w:ind w:firstLine="2560" w:firstLineChars="800"/>
        <w:rPr>
          <w:rStyle w:val="11"/>
          <w:rFonts w:eastAsia="仿宋_GB2312"/>
          <w:szCs w:val="32"/>
        </w:rPr>
      </w:pPr>
      <w:r>
        <w:rPr>
          <w:rStyle w:val="11"/>
          <w:rFonts w:eastAsia="仿宋_GB2312"/>
          <w:szCs w:val="32"/>
        </w:rPr>
        <w:t>马  考  区行政审批局局长</w:t>
      </w:r>
    </w:p>
    <w:p>
      <w:pPr>
        <w:spacing w:line="600" w:lineRule="exact"/>
        <w:ind w:firstLine="2560" w:firstLineChars="800"/>
        <w:rPr>
          <w:rFonts w:eastAsia="仿宋_GB2312"/>
          <w:szCs w:val="32"/>
        </w:rPr>
      </w:pPr>
      <w:r>
        <w:rPr>
          <w:rFonts w:hint="eastAsia" w:eastAsia="仿宋_GB2312"/>
          <w:szCs w:val="32"/>
        </w:rPr>
        <w:t>于笑晨  区</w:t>
      </w:r>
      <w:r>
        <w:rPr>
          <w:rFonts w:eastAsia="仿宋_GB2312"/>
          <w:szCs w:val="32"/>
        </w:rPr>
        <w:t>骊山</w:t>
      </w:r>
      <w:r>
        <w:rPr>
          <w:rFonts w:hint="eastAsia" w:eastAsia="仿宋_GB2312"/>
          <w:szCs w:val="32"/>
        </w:rPr>
        <w:t>街道党工委书记</w:t>
      </w:r>
    </w:p>
    <w:p>
      <w:pPr>
        <w:spacing w:line="600" w:lineRule="exact"/>
        <w:ind w:firstLine="2560" w:firstLineChars="800"/>
        <w:rPr>
          <w:rFonts w:eastAsia="仿宋_GB2312"/>
          <w:szCs w:val="32"/>
        </w:rPr>
      </w:pPr>
      <w:r>
        <w:rPr>
          <w:rFonts w:hint="eastAsia" w:eastAsia="仿宋_GB2312"/>
          <w:szCs w:val="32"/>
        </w:rPr>
        <w:t>焦  鹏  区秦陵街道办事处主任</w:t>
      </w:r>
    </w:p>
    <w:p>
      <w:pPr>
        <w:spacing w:line="600" w:lineRule="exact"/>
        <w:ind w:firstLine="2560" w:firstLineChars="800"/>
      </w:pPr>
      <w:r>
        <w:rPr>
          <w:rFonts w:hint="eastAsia" w:eastAsia="仿宋_GB2312"/>
          <w:szCs w:val="32"/>
        </w:rPr>
        <w:t>刘  佩  区斜口街道办事处主任</w:t>
      </w:r>
    </w:p>
    <w:p>
      <w:pPr>
        <w:spacing w:line="600" w:lineRule="exact"/>
        <w:ind w:firstLine="640" w:firstLineChars="200"/>
        <w:rPr>
          <w:rFonts w:eastAsia="仿宋_GB2312"/>
          <w:szCs w:val="32"/>
        </w:rPr>
      </w:pPr>
      <w:r>
        <w:rPr>
          <w:rFonts w:eastAsia="仿宋_GB2312"/>
          <w:szCs w:val="32"/>
        </w:rPr>
        <w:t>根据工作需要，专班可邀请其他相关部门和单位参加。工作专班设联络员，由各成员单位相关科室负责同志担任。</w:t>
      </w:r>
    </w:p>
    <w:p>
      <w:pPr>
        <w:spacing w:line="600" w:lineRule="exact"/>
        <w:ind w:firstLine="640" w:firstLineChars="200"/>
        <w:rPr>
          <w:rFonts w:eastAsia="仿宋_GB2312"/>
          <w:szCs w:val="32"/>
        </w:rPr>
      </w:pPr>
      <w:r>
        <w:rPr>
          <w:rFonts w:eastAsia="仿宋_GB2312"/>
          <w:szCs w:val="32"/>
        </w:rPr>
        <w:t>工作专班办公室设在区民政局，办公室主任由区民政局局长担任，办公室副主任由区民政局副局长、区发改委副主任、区住建局副局长、资源规划</w:t>
      </w:r>
      <w:r>
        <w:rPr>
          <w:rFonts w:hint="eastAsia" w:eastAsia="仿宋_GB2312"/>
          <w:szCs w:val="32"/>
        </w:rPr>
        <w:t>分</w:t>
      </w:r>
      <w:r>
        <w:rPr>
          <w:rFonts w:eastAsia="仿宋_GB2312"/>
          <w:szCs w:val="32"/>
        </w:rPr>
        <w:t>局副局长担任。成员由区民政局、区发改委、区住建局、资源规划</w:t>
      </w:r>
      <w:r>
        <w:rPr>
          <w:rFonts w:hint="eastAsia" w:eastAsia="仿宋_GB2312"/>
          <w:szCs w:val="32"/>
        </w:rPr>
        <w:t>分</w:t>
      </w:r>
      <w:r>
        <w:rPr>
          <w:rFonts w:eastAsia="仿宋_GB2312"/>
          <w:szCs w:val="32"/>
        </w:rPr>
        <w:t>局、区卫生健康</w:t>
      </w:r>
      <w:r>
        <w:rPr>
          <w:rFonts w:hint="eastAsia" w:eastAsia="仿宋_GB2312"/>
          <w:szCs w:val="32"/>
        </w:rPr>
        <w:t>局</w:t>
      </w:r>
      <w:r>
        <w:rPr>
          <w:rFonts w:eastAsia="仿宋_GB2312"/>
          <w:szCs w:val="32"/>
        </w:rPr>
        <w:t>抽调人员组成</w:t>
      </w:r>
      <w:r>
        <w:rPr>
          <w:rFonts w:hint="eastAsia" w:eastAsia="仿宋_GB2312"/>
          <w:szCs w:val="32"/>
        </w:rPr>
        <w:t>，主要负责</w:t>
      </w:r>
      <w:r>
        <w:rPr>
          <w:rFonts w:eastAsia="仿宋_GB2312"/>
          <w:szCs w:val="32"/>
        </w:rPr>
        <w:t>统筹推进全区社区嵌入式服务设施建设，加强对社区嵌入式服务设施建设的指导督促，细化具体建设任务和工作举措，及时研究新情况、解决新问题，切实推动目标任务落地见效。</w:t>
      </w:r>
    </w:p>
    <w:p>
      <w:pPr>
        <w:spacing w:line="600" w:lineRule="exact"/>
        <w:ind w:firstLine="640" w:firstLineChars="200"/>
        <w:rPr>
          <w:szCs w:val="32"/>
        </w:rPr>
      </w:pPr>
      <w:r>
        <w:rPr>
          <w:szCs w:val="32"/>
        </w:rPr>
        <w:t>二、</w:t>
      </w:r>
      <w:r>
        <w:rPr>
          <w:rFonts w:hint="eastAsia"/>
          <w:szCs w:val="32"/>
        </w:rPr>
        <w:t>成员单位</w:t>
      </w:r>
      <w:r>
        <w:rPr>
          <w:szCs w:val="32"/>
        </w:rPr>
        <w:t>职责</w:t>
      </w:r>
    </w:p>
    <w:p>
      <w:pPr>
        <w:spacing w:line="600" w:lineRule="exact"/>
        <w:ind w:firstLine="640" w:firstLineChars="200"/>
        <w:rPr>
          <w:rFonts w:eastAsia="仿宋_GB2312"/>
          <w:szCs w:val="32"/>
        </w:rPr>
      </w:pPr>
      <w:r>
        <w:rPr>
          <w:rFonts w:eastAsia="仿宋_GB2312"/>
          <w:szCs w:val="32"/>
        </w:rPr>
        <w:t>区民政局</w:t>
      </w:r>
      <w:r>
        <w:rPr>
          <w:rFonts w:hint="eastAsia" w:eastAsia="仿宋_GB2312"/>
          <w:szCs w:val="32"/>
        </w:rPr>
        <w:t>：</w:t>
      </w:r>
      <w:r>
        <w:rPr>
          <w:rFonts w:eastAsia="仿宋_GB2312"/>
          <w:szCs w:val="32"/>
        </w:rPr>
        <w:t>牵头统筹推进全区社区嵌入式服务设施建设工作，制定</w:t>
      </w:r>
      <w:r>
        <w:rPr>
          <w:rFonts w:hint="eastAsia" w:eastAsia="仿宋_GB2312"/>
          <w:szCs w:val="32"/>
        </w:rPr>
        <w:t>《西安市临潼区城市社区嵌入式服务设施建设工程实施方案》</w:t>
      </w:r>
      <w:r>
        <w:rPr>
          <w:rFonts w:eastAsia="仿宋_GB2312"/>
          <w:snapToGrid w:val="0"/>
          <w:kern w:val="0"/>
          <w:szCs w:val="32"/>
        </w:rPr>
        <w:t>，做好</w:t>
      </w:r>
      <w:r>
        <w:rPr>
          <w:rFonts w:eastAsia="仿宋_GB2312"/>
          <w:szCs w:val="32"/>
        </w:rPr>
        <w:t>社区嵌入式服务设施建设督导考核；</w:t>
      </w:r>
      <w:r>
        <w:rPr>
          <w:rFonts w:hint="eastAsia" w:eastAsia="仿宋_GB2312"/>
          <w:szCs w:val="32"/>
        </w:rPr>
        <w:t>及时</w:t>
      </w:r>
      <w:r>
        <w:rPr>
          <w:rFonts w:eastAsia="仿宋_GB2312"/>
          <w:szCs w:val="32"/>
        </w:rPr>
        <w:t>分析全区社区养老服务、社区助餐设施建设及服务运营情况，指导督促完成社区养老服务、社区助餐设施建设任务，强化运营和监管。</w:t>
      </w:r>
    </w:p>
    <w:p>
      <w:pPr>
        <w:spacing w:line="600" w:lineRule="exact"/>
        <w:ind w:firstLine="640" w:firstLineChars="200"/>
        <w:rPr>
          <w:rFonts w:eastAsia="仿宋_GB2312"/>
          <w:szCs w:val="32"/>
        </w:rPr>
      </w:pPr>
      <w:r>
        <w:rPr>
          <w:rFonts w:eastAsia="仿宋_GB2312"/>
          <w:szCs w:val="32"/>
        </w:rPr>
        <w:t>区发改委</w:t>
      </w:r>
      <w:r>
        <w:rPr>
          <w:rFonts w:hint="eastAsia" w:eastAsia="仿宋_GB2312"/>
          <w:szCs w:val="32"/>
        </w:rPr>
        <w:t>：</w:t>
      </w:r>
      <w:r>
        <w:rPr>
          <w:rFonts w:eastAsia="仿宋_GB2312"/>
          <w:szCs w:val="32"/>
        </w:rPr>
        <w:t>负责试点项目申报、资金申请等工作；指导行业主管部门做好社区嵌入式服务设施试点建设项目包装、立项审批及项目入库等建设前期工作以及项目验收工作；按照西安市相关文件规定，在符合规定条件</w:t>
      </w:r>
      <w:r>
        <w:rPr>
          <w:rFonts w:eastAsia="仿宋_GB2312"/>
          <w:snapToGrid w:val="0"/>
          <w:kern w:val="0"/>
          <w:szCs w:val="32"/>
        </w:rPr>
        <w:t>下</w:t>
      </w:r>
      <w:r>
        <w:rPr>
          <w:rFonts w:eastAsia="仿宋_GB2312"/>
          <w:szCs w:val="32"/>
        </w:rPr>
        <w:t>落实社区嵌入式服务设施用水、用电、用气、用热及物业收费按居民生活类价格执行。</w:t>
      </w:r>
    </w:p>
    <w:p>
      <w:pPr>
        <w:spacing w:line="600" w:lineRule="exact"/>
        <w:ind w:firstLine="640" w:firstLineChars="200"/>
        <w:rPr>
          <w:rFonts w:eastAsia="仿宋_GB2312"/>
          <w:szCs w:val="32"/>
        </w:rPr>
      </w:pPr>
      <w:r>
        <w:rPr>
          <w:rFonts w:eastAsia="仿宋_GB2312"/>
          <w:szCs w:val="32"/>
        </w:rPr>
        <w:t>区住建局</w:t>
      </w:r>
      <w:r>
        <w:rPr>
          <w:rFonts w:hint="eastAsia" w:eastAsia="仿宋_GB2312"/>
          <w:szCs w:val="32"/>
        </w:rPr>
        <w:t>：</w:t>
      </w:r>
      <w:r>
        <w:rPr>
          <w:rFonts w:eastAsia="仿宋_GB2312"/>
          <w:szCs w:val="32"/>
        </w:rPr>
        <w:t>指导开展社区嵌入式服务设施工程建设，结合老旧小区改造、适老化改造、完整社区建设、保障性住房建设等城市更新工作补建配建社区嵌入式服务设施</w:t>
      </w:r>
      <w:r>
        <w:rPr>
          <w:rFonts w:hint="eastAsia" w:eastAsia="仿宋_GB2312"/>
          <w:szCs w:val="32"/>
        </w:rPr>
        <w:t>；</w:t>
      </w:r>
      <w:r>
        <w:rPr>
          <w:rFonts w:eastAsia="仿宋_GB2312"/>
          <w:szCs w:val="32"/>
        </w:rPr>
        <w:t>办理社区嵌入式服务设施消防验收备案相关手续</w:t>
      </w:r>
      <w:r>
        <w:rPr>
          <w:rFonts w:hint="eastAsia" w:eastAsia="仿宋_GB2312"/>
          <w:szCs w:val="32"/>
        </w:rPr>
        <w:t>；</w:t>
      </w:r>
      <w:r>
        <w:rPr>
          <w:rFonts w:eastAsia="仿宋_GB2312"/>
          <w:szCs w:val="32"/>
        </w:rPr>
        <w:t>加强施工质量安全监管，确保工程质量和施工安全。</w:t>
      </w:r>
    </w:p>
    <w:p>
      <w:pPr>
        <w:spacing w:line="600" w:lineRule="exact"/>
        <w:ind w:firstLine="640" w:firstLineChars="200"/>
        <w:rPr>
          <w:rFonts w:eastAsia="仿宋_GB2312"/>
          <w:szCs w:val="32"/>
        </w:rPr>
      </w:pPr>
      <w:r>
        <w:rPr>
          <w:rFonts w:eastAsia="仿宋_GB2312"/>
          <w:szCs w:val="32"/>
        </w:rPr>
        <w:t>自然资源规划分局</w:t>
      </w:r>
      <w:r>
        <w:rPr>
          <w:rFonts w:hint="eastAsia" w:eastAsia="仿宋_GB2312"/>
          <w:szCs w:val="32"/>
        </w:rPr>
        <w:t>：</w:t>
      </w:r>
      <w:r>
        <w:rPr>
          <w:rFonts w:eastAsia="仿宋_GB2312"/>
          <w:szCs w:val="32"/>
        </w:rPr>
        <w:t>负责</w:t>
      </w:r>
      <w:r>
        <w:rPr>
          <w:rFonts w:eastAsia="仿宋_GB2312"/>
          <w:snapToGrid w:val="0"/>
          <w:kern w:val="0"/>
          <w:szCs w:val="32"/>
        </w:rPr>
        <w:t>指导</w:t>
      </w:r>
      <w:r>
        <w:rPr>
          <w:rFonts w:eastAsia="仿宋_GB2312"/>
          <w:szCs w:val="32"/>
        </w:rPr>
        <w:t>组织社区嵌入式服务设施建设场地空间拓展，将社区嵌入式服务设施建设纳入国土空间规划一张图平台</w:t>
      </w:r>
      <w:r>
        <w:rPr>
          <w:rFonts w:hint="eastAsia" w:eastAsia="仿宋_GB2312"/>
          <w:szCs w:val="32"/>
        </w:rPr>
        <w:t>；</w:t>
      </w:r>
      <w:r>
        <w:rPr>
          <w:rFonts w:eastAsia="仿宋_GB2312"/>
          <w:szCs w:val="32"/>
        </w:rPr>
        <w:t>充分支持用地、空间复合利用，加强规划、用地政策支持，在符合国家有关规定的前提下适度简化规划许可等办理程序。</w:t>
      </w:r>
    </w:p>
    <w:p>
      <w:pPr>
        <w:spacing w:line="600" w:lineRule="exact"/>
        <w:ind w:firstLine="707" w:firstLineChars="221"/>
        <w:rPr>
          <w:rFonts w:eastAsia="仿宋_GB2312"/>
          <w:szCs w:val="32"/>
        </w:rPr>
      </w:pPr>
      <w:r>
        <w:rPr>
          <w:rFonts w:eastAsia="仿宋_GB2312"/>
          <w:szCs w:val="32"/>
        </w:rPr>
        <w:t>区卫生健康局</w:t>
      </w:r>
      <w:r>
        <w:rPr>
          <w:rFonts w:hint="eastAsia" w:eastAsia="仿宋_GB2312"/>
          <w:szCs w:val="32"/>
        </w:rPr>
        <w:t>：</w:t>
      </w:r>
      <w:r>
        <w:rPr>
          <w:rFonts w:eastAsia="仿宋_GB2312"/>
          <w:szCs w:val="32"/>
        </w:rPr>
        <w:t>负责掌握分析全区社区婴幼儿托育、健康服务设施建设及服务运营情况，指导督促</w:t>
      </w:r>
      <w:r>
        <w:rPr>
          <w:rFonts w:hint="eastAsia" w:eastAsia="仿宋_GB2312"/>
          <w:szCs w:val="32"/>
        </w:rPr>
        <w:t>各试点项目</w:t>
      </w:r>
      <w:r>
        <w:rPr>
          <w:rFonts w:eastAsia="仿宋_GB2312"/>
          <w:szCs w:val="32"/>
        </w:rPr>
        <w:t>完成社区婴幼儿托育、健康服务设施建设任务，强化运营和监管。</w:t>
      </w:r>
    </w:p>
    <w:p>
      <w:pPr>
        <w:spacing w:line="600" w:lineRule="exact"/>
        <w:ind w:firstLine="640" w:firstLineChars="200"/>
        <w:rPr>
          <w:rFonts w:eastAsia="仿宋_GB2312"/>
          <w:szCs w:val="32"/>
        </w:rPr>
      </w:pPr>
      <w:r>
        <w:rPr>
          <w:rFonts w:eastAsia="仿宋_GB2312"/>
          <w:szCs w:val="32"/>
        </w:rPr>
        <w:t>区财政局</w:t>
      </w:r>
      <w:r>
        <w:rPr>
          <w:rFonts w:hint="eastAsia" w:eastAsia="仿宋_GB2312"/>
          <w:szCs w:val="32"/>
        </w:rPr>
        <w:t>：</w:t>
      </w:r>
      <w:r>
        <w:rPr>
          <w:rFonts w:eastAsia="仿宋_GB2312"/>
          <w:szCs w:val="32"/>
        </w:rPr>
        <w:t>负责会同区发改委、区民政局</w:t>
      </w:r>
      <w:r>
        <w:rPr>
          <w:rFonts w:hint="eastAsia" w:eastAsia="仿宋_GB2312"/>
          <w:szCs w:val="32"/>
        </w:rPr>
        <w:t>制定</w:t>
      </w:r>
      <w:r>
        <w:rPr>
          <w:rFonts w:eastAsia="仿宋_GB2312"/>
          <w:szCs w:val="32"/>
        </w:rPr>
        <w:t>社区嵌入式服务设施建设资金奖励补助办法和项目资金管理使用办法；执行西安市国有企业退休人员社会化管理工作补助专项资金使用管理办法，支持社区嵌入式服务设施建设。</w:t>
      </w:r>
    </w:p>
    <w:p>
      <w:pPr>
        <w:spacing w:line="600" w:lineRule="exact"/>
        <w:ind w:firstLine="640" w:firstLineChars="200"/>
        <w:rPr>
          <w:rFonts w:eastAsia="仿宋_GB2312"/>
          <w:szCs w:val="32"/>
        </w:rPr>
      </w:pPr>
      <w:r>
        <w:rPr>
          <w:rFonts w:eastAsia="仿宋_GB2312"/>
          <w:szCs w:val="32"/>
        </w:rPr>
        <w:t>区教育局</w:t>
      </w:r>
      <w:r>
        <w:rPr>
          <w:rFonts w:hint="eastAsia" w:eastAsia="仿宋_GB2312"/>
          <w:szCs w:val="32"/>
        </w:rPr>
        <w:t>：</w:t>
      </w:r>
      <w:r>
        <w:rPr>
          <w:rFonts w:eastAsia="仿宋_GB2312"/>
          <w:szCs w:val="32"/>
        </w:rPr>
        <w:t>负责掌握分析全区社区儿童托管、儿童游憩设施建设及服务运营情况，指导督促各试点项目完成社区儿童托管、儿童游憩设施建设任务，强化运营和监管。</w:t>
      </w:r>
    </w:p>
    <w:p>
      <w:pPr>
        <w:spacing w:line="600" w:lineRule="exact"/>
        <w:ind w:firstLine="640" w:firstLineChars="200"/>
        <w:rPr>
          <w:rFonts w:eastAsia="仿宋_GB2312"/>
          <w:szCs w:val="32"/>
        </w:rPr>
      </w:pPr>
      <w:r>
        <w:rPr>
          <w:rFonts w:eastAsia="仿宋_GB2312"/>
          <w:szCs w:val="32"/>
        </w:rPr>
        <w:t>区文化旅游局</w:t>
      </w:r>
      <w:r>
        <w:rPr>
          <w:rFonts w:hint="eastAsia" w:eastAsia="仿宋_GB2312"/>
          <w:szCs w:val="32"/>
        </w:rPr>
        <w:t>：</w:t>
      </w:r>
      <w:r>
        <w:rPr>
          <w:rFonts w:eastAsia="仿宋_GB2312"/>
          <w:szCs w:val="32"/>
        </w:rPr>
        <w:t>负责掌握分析全区社区文化休闲、体育健身设施建设及服务运营情况，指导督促各试点项目完成社区文化休闲、体育健身设施建设任务，强化运营和监管。</w:t>
      </w:r>
    </w:p>
    <w:p>
      <w:pPr>
        <w:spacing w:line="600" w:lineRule="exact"/>
        <w:ind w:firstLine="640" w:firstLineChars="200"/>
        <w:rPr>
          <w:rFonts w:eastAsia="仿宋_GB2312"/>
          <w:szCs w:val="32"/>
        </w:rPr>
      </w:pPr>
      <w:r>
        <w:rPr>
          <w:rFonts w:eastAsia="仿宋_GB2312"/>
          <w:szCs w:val="32"/>
        </w:rPr>
        <w:t>区科工商务局</w:t>
      </w:r>
      <w:r>
        <w:rPr>
          <w:rFonts w:hint="eastAsia" w:eastAsia="仿宋_GB2312"/>
          <w:szCs w:val="32"/>
        </w:rPr>
        <w:t>：</w:t>
      </w:r>
      <w:r>
        <w:rPr>
          <w:rFonts w:eastAsia="仿宋_GB2312"/>
          <w:szCs w:val="32"/>
        </w:rPr>
        <w:t>负责掌握分析全区社区家政便民设施建设及服务运营情况，指导督促各试点项目完成社区家政便民设施建设任务，强化运营和监管。</w:t>
      </w:r>
    </w:p>
    <w:p>
      <w:pPr>
        <w:spacing w:line="600" w:lineRule="exact"/>
        <w:ind w:firstLine="640" w:firstLineChars="200"/>
        <w:rPr>
          <w:rFonts w:eastAsia="仿宋_GB2312"/>
          <w:szCs w:val="32"/>
        </w:rPr>
      </w:pPr>
      <w:r>
        <w:rPr>
          <w:rFonts w:eastAsia="仿宋_GB2312"/>
          <w:szCs w:val="32"/>
        </w:rPr>
        <w:t>区市场监管局</w:t>
      </w:r>
      <w:r>
        <w:rPr>
          <w:rFonts w:hint="eastAsia" w:eastAsia="仿宋_GB2312"/>
          <w:szCs w:val="32"/>
        </w:rPr>
        <w:t>：</w:t>
      </w:r>
      <w:r>
        <w:rPr>
          <w:rFonts w:eastAsia="仿宋_GB2312"/>
          <w:szCs w:val="32"/>
        </w:rPr>
        <w:t>负责对社区嵌入式服务设施用水、用电、用气、用热及物业收费在符合规定条件下按居民生活类价格执行情况进行督导检查。</w:t>
      </w:r>
    </w:p>
    <w:p>
      <w:pPr>
        <w:spacing w:line="600" w:lineRule="exact"/>
        <w:ind w:firstLine="640" w:firstLineChars="200"/>
        <w:rPr>
          <w:rFonts w:eastAsia="仿宋_GB2312"/>
          <w:szCs w:val="32"/>
        </w:rPr>
      </w:pPr>
      <w:r>
        <w:rPr>
          <w:rFonts w:eastAsia="仿宋_GB2312"/>
          <w:szCs w:val="32"/>
        </w:rPr>
        <w:t>区行政审批局</w:t>
      </w:r>
      <w:r>
        <w:rPr>
          <w:rFonts w:hint="eastAsia" w:eastAsia="仿宋_GB2312"/>
          <w:szCs w:val="32"/>
        </w:rPr>
        <w:t>：</w:t>
      </w:r>
      <w:r>
        <w:rPr>
          <w:rFonts w:eastAsia="仿宋_GB2312"/>
          <w:szCs w:val="32"/>
        </w:rPr>
        <w:t>负责简化社区嵌入式服务机构营业执照设立登记手续及《食品经营许可证》审批手续，推广实施</w:t>
      </w:r>
      <w:r>
        <w:rPr>
          <w:rFonts w:hint="eastAsia" w:eastAsia="仿宋_GB2312"/>
          <w:szCs w:val="32"/>
        </w:rPr>
        <w:t>“</w:t>
      </w:r>
      <w:r>
        <w:rPr>
          <w:rFonts w:eastAsia="仿宋_GB2312"/>
          <w:szCs w:val="32"/>
        </w:rPr>
        <w:t>一照多址</w:t>
      </w:r>
      <w:r>
        <w:rPr>
          <w:rFonts w:hint="eastAsia" w:eastAsia="仿宋_GB2312"/>
          <w:szCs w:val="32"/>
        </w:rPr>
        <w:t>”</w:t>
      </w:r>
      <w:r>
        <w:rPr>
          <w:rFonts w:eastAsia="仿宋_GB2312"/>
          <w:szCs w:val="32"/>
        </w:rPr>
        <w:t>。</w:t>
      </w:r>
    </w:p>
    <w:p>
      <w:pPr>
        <w:spacing w:line="600" w:lineRule="exact"/>
        <w:ind w:firstLine="640" w:firstLineChars="200"/>
        <w:rPr>
          <w:rFonts w:eastAsia="仿宋_GB2312"/>
          <w:szCs w:val="32"/>
        </w:rPr>
      </w:pPr>
      <w:r>
        <w:rPr>
          <w:rFonts w:eastAsia="仿宋_GB2312"/>
          <w:szCs w:val="32"/>
        </w:rPr>
        <w:t>区税务局</w:t>
      </w:r>
      <w:r>
        <w:rPr>
          <w:rFonts w:hint="eastAsia" w:eastAsia="仿宋_GB2312"/>
          <w:szCs w:val="32"/>
        </w:rPr>
        <w:t>：</w:t>
      </w:r>
      <w:r>
        <w:rPr>
          <w:rFonts w:eastAsia="仿宋_GB2312"/>
          <w:szCs w:val="32"/>
        </w:rPr>
        <w:t>负责会同区财政局落实社区嵌入式服务机构各项税费优惠政策。</w:t>
      </w:r>
    </w:p>
    <w:p>
      <w:pPr>
        <w:spacing w:line="600" w:lineRule="exact"/>
        <w:ind w:firstLine="640" w:firstLineChars="200"/>
        <w:rPr>
          <w:rFonts w:eastAsia="仿宋_GB2312"/>
          <w:szCs w:val="32"/>
        </w:rPr>
      </w:pPr>
      <w:r>
        <w:rPr>
          <w:rFonts w:eastAsia="仿宋_GB2312"/>
          <w:szCs w:val="32"/>
        </w:rPr>
        <w:t>区机关事务</w:t>
      </w:r>
      <w:r>
        <w:rPr>
          <w:rFonts w:hint="eastAsia" w:eastAsia="仿宋_GB2312"/>
          <w:szCs w:val="32"/>
        </w:rPr>
        <w:t>服务中心：</w:t>
      </w:r>
      <w:r>
        <w:rPr>
          <w:rFonts w:eastAsia="仿宋_GB2312"/>
          <w:szCs w:val="32"/>
        </w:rPr>
        <w:t>负责摸排机关闲置用房情况，依据办公用房有关规定，提供给社区发展嵌入式服务。</w:t>
      </w:r>
    </w:p>
    <w:p>
      <w:pPr>
        <w:spacing w:line="600" w:lineRule="exact"/>
        <w:ind w:firstLine="640" w:firstLineChars="200"/>
        <w:rPr>
          <w:rFonts w:eastAsia="仿宋_GB2312"/>
          <w:szCs w:val="32"/>
        </w:rPr>
      </w:pPr>
      <w:r>
        <w:rPr>
          <w:rFonts w:eastAsia="仿宋_GB2312"/>
          <w:szCs w:val="32"/>
        </w:rPr>
        <w:t>区消防救援</w:t>
      </w:r>
      <w:r>
        <w:rPr>
          <w:rFonts w:hint="eastAsia" w:eastAsia="仿宋_GB2312"/>
          <w:szCs w:val="32"/>
        </w:rPr>
        <w:t>大</w:t>
      </w:r>
      <w:r>
        <w:rPr>
          <w:rFonts w:eastAsia="仿宋_GB2312"/>
          <w:szCs w:val="32"/>
        </w:rPr>
        <w:t>队</w:t>
      </w:r>
      <w:r>
        <w:rPr>
          <w:rFonts w:hint="eastAsia" w:eastAsia="仿宋_GB2312"/>
          <w:szCs w:val="32"/>
        </w:rPr>
        <w:t>：</w:t>
      </w:r>
      <w:r>
        <w:rPr>
          <w:rFonts w:eastAsia="仿宋_GB2312"/>
          <w:szCs w:val="32"/>
        </w:rPr>
        <w:t>负责加强对社区嵌入式服务设施消防安全管理、火灾应急处置、安全紧急疏散等方面检查督导。</w:t>
      </w:r>
    </w:p>
    <w:p>
      <w:pPr>
        <w:autoSpaceDE w:val="0"/>
        <w:autoSpaceDN w:val="0"/>
        <w:spacing w:line="600" w:lineRule="exact"/>
        <w:ind w:firstLine="640" w:firstLineChars="200"/>
        <w:jc w:val="left"/>
        <w:rPr>
          <w:szCs w:val="32"/>
        </w:rPr>
      </w:pPr>
      <w:r>
        <w:rPr>
          <w:szCs w:val="32"/>
        </w:rPr>
        <w:t>三、工作要求</w:t>
      </w:r>
    </w:p>
    <w:p>
      <w:pPr>
        <w:spacing w:line="600" w:lineRule="exact"/>
        <w:ind w:firstLine="640"/>
        <w:rPr>
          <w:rFonts w:eastAsia="仿宋_GB2312"/>
          <w:szCs w:val="32"/>
        </w:rPr>
      </w:pPr>
      <w:r>
        <w:rPr>
          <w:rFonts w:eastAsia="楷体_GB2312"/>
          <w:szCs w:val="32"/>
        </w:rPr>
        <w:t>（一）加强工作调度。</w:t>
      </w:r>
      <w:r>
        <w:rPr>
          <w:rFonts w:hint="eastAsia" w:eastAsia="仿宋_GB2312"/>
          <w:szCs w:val="32"/>
        </w:rPr>
        <w:t>区</w:t>
      </w:r>
      <w:r>
        <w:rPr>
          <w:rFonts w:eastAsia="仿宋_GB2312"/>
          <w:szCs w:val="32"/>
        </w:rPr>
        <w:t>工作专班办公室根据需要组织召开工作推进会，安排全区</w:t>
      </w:r>
      <w:r>
        <w:rPr>
          <w:rFonts w:eastAsia="仿宋_GB2312"/>
          <w:kern w:val="0"/>
          <w:szCs w:val="32"/>
        </w:rPr>
        <w:t>社区嵌入式服务设施</w:t>
      </w:r>
      <w:r>
        <w:rPr>
          <w:rFonts w:eastAsia="仿宋_GB2312"/>
          <w:szCs w:val="32"/>
        </w:rPr>
        <w:t>建设相关工作，了解进展情况，协调解决问题。可视情组织部分成员单位召开专题研讨会、协调会等，研究推进工作。</w:t>
      </w:r>
    </w:p>
    <w:p>
      <w:pPr>
        <w:spacing w:line="600" w:lineRule="exact"/>
        <w:ind w:firstLine="640"/>
        <w:rPr>
          <w:rFonts w:eastAsia="仿宋_GB2312"/>
          <w:szCs w:val="32"/>
        </w:rPr>
      </w:pPr>
      <w:r>
        <w:rPr>
          <w:rFonts w:eastAsia="楷体_GB2312"/>
          <w:szCs w:val="32"/>
        </w:rPr>
        <w:t>（二）争取上级支持。</w:t>
      </w:r>
      <w:r>
        <w:rPr>
          <w:rFonts w:eastAsia="仿宋_GB2312"/>
          <w:szCs w:val="32"/>
        </w:rPr>
        <w:t>区发改委、区民政局、区财政局、区教育局、区科工商务局、区卫生健康</w:t>
      </w:r>
      <w:r>
        <w:rPr>
          <w:rFonts w:hint="eastAsia" w:eastAsia="仿宋_GB2312"/>
          <w:szCs w:val="32"/>
        </w:rPr>
        <w:t>局</w:t>
      </w:r>
      <w:r>
        <w:rPr>
          <w:rFonts w:eastAsia="仿宋_GB2312"/>
          <w:szCs w:val="32"/>
        </w:rPr>
        <w:t>、区文旅局等相关部门</w:t>
      </w:r>
      <w:r>
        <w:rPr>
          <w:rFonts w:hint="eastAsia" w:eastAsia="仿宋_GB2312"/>
          <w:szCs w:val="32"/>
        </w:rPr>
        <w:t>要</w:t>
      </w:r>
      <w:r>
        <w:rPr>
          <w:rFonts w:eastAsia="仿宋_GB2312"/>
          <w:szCs w:val="32"/>
        </w:rPr>
        <w:t>积极对接市级部门，健全完善</w:t>
      </w:r>
      <w:r>
        <w:rPr>
          <w:rFonts w:eastAsia="仿宋_GB2312"/>
          <w:kern w:val="0"/>
          <w:szCs w:val="32"/>
        </w:rPr>
        <w:t>社区嵌入式服务设施</w:t>
      </w:r>
      <w:r>
        <w:rPr>
          <w:rFonts w:eastAsia="仿宋_GB2312"/>
          <w:szCs w:val="32"/>
        </w:rPr>
        <w:t>建设相关技术标准，制定政策支持清单，落实落地</w:t>
      </w:r>
      <w:r>
        <w:rPr>
          <w:rFonts w:eastAsia="仿宋_GB2312"/>
          <w:kern w:val="0"/>
          <w:szCs w:val="32"/>
        </w:rPr>
        <w:t>社区嵌入式服务设施</w:t>
      </w:r>
      <w:r>
        <w:rPr>
          <w:rFonts w:eastAsia="仿宋_GB2312"/>
          <w:szCs w:val="32"/>
        </w:rPr>
        <w:t>建设项目，积极争取政策支持。</w:t>
      </w:r>
    </w:p>
    <w:p>
      <w:pPr>
        <w:spacing w:line="600" w:lineRule="exact"/>
        <w:ind w:firstLine="640" w:firstLineChars="200"/>
        <w:rPr>
          <w:rFonts w:eastAsia="仿宋_GB2312"/>
          <w:szCs w:val="32"/>
        </w:rPr>
      </w:pPr>
      <w:r>
        <w:rPr>
          <w:rFonts w:eastAsia="楷体_GB2312"/>
          <w:szCs w:val="32"/>
        </w:rPr>
        <w:t>（三）做好信息报送。</w:t>
      </w:r>
      <w:r>
        <w:rPr>
          <w:rFonts w:eastAsia="仿宋_GB2312"/>
          <w:szCs w:val="32"/>
        </w:rPr>
        <w:t>各成员单位要认真研究</w:t>
      </w:r>
      <w:r>
        <w:rPr>
          <w:rFonts w:eastAsia="仿宋_GB2312"/>
          <w:kern w:val="0"/>
          <w:szCs w:val="32"/>
        </w:rPr>
        <w:t>社区嵌入式服务设施建设</w:t>
      </w:r>
      <w:r>
        <w:rPr>
          <w:rFonts w:eastAsia="仿宋_GB2312"/>
          <w:szCs w:val="32"/>
        </w:rPr>
        <w:t>工作，加强信息沟通，落实工作专班研究确定的各项工作任务，定期总结梳理工作进展情况、存在困难和问题，涉及的重大事项及时报工作专班或按程序上报区政府研究决定。</w:t>
      </w:r>
    </w:p>
    <w:p>
      <w:pPr>
        <w:spacing w:line="600" w:lineRule="exact"/>
        <w:ind w:firstLine="640" w:firstLineChars="200"/>
        <w:rPr>
          <w:rFonts w:eastAsia="仿宋_GB2312"/>
          <w:szCs w:val="32"/>
        </w:rPr>
      </w:pPr>
      <w:r>
        <w:rPr>
          <w:rFonts w:eastAsia="楷体_GB2312"/>
          <w:szCs w:val="32"/>
        </w:rPr>
        <w:t>（四）强化督导检查。</w:t>
      </w:r>
      <w:r>
        <w:rPr>
          <w:rFonts w:hint="eastAsia" w:eastAsia="仿宋_GB2312"/>
          <w:szCs w:val="32"/>
        </w:rPr>
        <w:t>区</w:t>
      </w:r>
      <w:r>
        <w:rPr>
          <w:rFonts w:eastAsia="仿宋_GB2312"/>
          <w:szCs w:val="32"/>
        </w:rPr>
        <w:t>工作专班办公室可根据需要，组织区级成员单位对</w:t>
      </w:r>
      <w:r>
        <w:rPr>
          <w:rFonts w:eastAsia="仿宋_GB2312"/>
          <w:kern w:val="0"/>
          <w:szCs w:val="32"/>
        </w:rPr>
        <w:t>社区嵌入式服务设施</w:t>
      </w:r>
      <w:r>
        <w:rPr>
          <w:rFonts w:eastAsia="仿宋_GB2312"/>
          <w:szCs w:val="32"/>
        </w:rPr>
        <w:t>建设推进情况开展联合专项督查，通报有关情况，抓好督导落实。</w:t>
      </w:r>
    </w:p>
    <w:p>
      <w:pPr>
        <w:spacing w:line="600" w:lineRule="exact"/>
        <w:rPr>
          <w:rFonts w:eastAsia="仿宋_GB2312"/>
          <w:szCs w:val="32"/>
        </w:rPr>
      </w:pPr>
      <w:r>
        <w:rPr>
          <w:rFonts w:eastAsia="仿宋_GB2312"/>
          <w:szCs w:val="32"/>
        </w:rPr>
        <w:br w:type="page"/>
      </w:r>
    </w:p>
    <w:p>
      <w:pPr>
        <w:pStyle w:val="5"/>
        <w:rPr>
          <w:rFonts w:eastAsia="仿宋_GB2312"/>
          <w:szCs w:val="32"/>
        </w:rPr>
        <w:sectPr>
          <w:footerReference r:id="rId3" w:type="default"/>
          <w:footerReference r:id="rId4" w:type="even"/>
          <w:pgSz w:w="11906" w:h="16838"/>
          <w:pgMar w:top="1701" w:right="1418" w:bottom="1134" w:left="1418" w:header="851" w:footer="1134" w:gutter="0"/>
          <w:pgNumType w:fmt="numberInDash"/>
          <w:cols w:space="720" w:num="1"/>
          <w:docGrid w:type="lines" w:linePitch="435" w:charSpace="0"/>
        </w:sectPr>
      </w:pPr>
    </w:p>
    <w:p>
      <w:pPr>
        <w:spacing w:line="560" w:lineRule="exact"/>
        <w:jc w:val="left"/>
      </w:pPr>
      <w:r>
        <w:rPr>
          <w:kern w:val="0"/>
          <w:szCs w:val="32"/>
        </w:rPr>
        <w:t>附件2</w:t>
      </w:r>
    </w:p>
    <w:p>
      <w:pPr>
        <w:spacing w:before="127" w:line="200" w:lineRule="atLeast"/>
        <w:jc w:val="center"/>
        <w:outlineLvl w:val="0"/>
        <w:rPr>
          <w:rFonts w:eastAsia="方正小标宋简体"/>
          <w:sz w:val="39"/>
          <w:szCs w:val="39"/>
        </w:rPr>
      </w:pPr>
      <w:r>
        <w:rPr>
          <w:rFonts w:eastAsia="方正小标宋简体"/>
          <w:spacing w:val="8"/>
          <w:position w:val="2"/>
          <w:sz w:val="36"/>
          <w:szCs w:val="36"/>
        </w:rPr>
        <w:t>西安市临潼区社区嵌入式服务设施建设工程项目名单（国家试</w:t>
      </w:r>
      <w:r>
        <w:rPr>
          <w:rFonts w:eastAsia="方正小标宋简体"/>
          <w:spacing w:val="7"/>
          <w:position w:val="2"/>
          <w:sz w:val="36"/>
          <w:szCs w:val="36"/>
        </w:rPr>
        <w:t>点项目）</w:t>
      </w:r>
    </w:p>
    <w:p>
      <w:pPr>
        <w:spacing w:line="37" w:lineRule="exact"/>
      </w:pPr>
    </w:p>
    <w:tbl>
      <w:tblPr>
        <w:tblStyle w:val="12"/>
        <w:tblW w:w="13259" w:type="dxa"/>
        <w:jc w:val="center"/>
        <w:tblBorders>
          <w:top w:val="none" w:color="auto" w:sz="0" w:space="0"/>
          <w:left w:val="none" w:color="auto" w:sz="0" w:space="0"/>
          <w:bottom w:val="none" w:color="auto" w:sz="0"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994"/>
        <w:gridCol w:w="1238"/>
        <w:gridCol w:w="1430"/>
        <w:gridCol w:w="3590"/>
        <w:gridCol w:w="1983"/>
        <w:gridCol w:w="1598"/>
        <w:gridCol w:w="2426"/>
      </w:tblGrid>
      <w:tr>
        <w:tblPrEx>
          <w:tblBorders>
            <w:top w:val="none" w:color="auto" w:sz="0" w:space="0"/>
            <w:left w:val="none" w:color="auto" w:sz="0" w:space="0"/>
            <w:bottom w:val="none" w:color="auto" w:sz="0"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747" w:hRule="atLeast"/>
          <w:jc w:val="center"/>
        </w:trPr>
        <w:tc>
          <w:tcPr>
            <w:tcW w:w="994" w:type="dxa"/>
            <w:tcBorders>
              <w:top w:val="single" w:color="auto" w:sz="4" w:space="0"/>
              <w:left w:val="single" w:color="auto" w:sz="4" w:space="0"/>
            </w:tcBorders>
            <w:noWrap/>
            <w:vAlign w:val="center"/>
          </w:tcPr>
          <w:p>
            <w:pPr>
              <w:spacing w:before="183" w:line="223" w:lineRule="auto"/>
              <w:ind w:left="278"/>
              <w:rPr>
                <w:sz w:val="24"/>
                <w:szCs w:val="24"/>
              </w:rPr>
            </w:pPr>
            <w:r>
              <w:rPr>
                <w:spacing w:val="-5"/>
                <w:sz w:val="24"/>
                <w:szCs w:val="24"/>
              </w:rPr>
              <w:t>序号</w:t>
            </w:r>
          </w:p>
        </w:tc>
        <w:tc>
          <w:tcPr>
            <w:tcW w:w="1238" w:type="dxa"/>
            <w:tcBorders>
              <w:top w:val="single" w:color="auto" w:sz="4" w:space="0"/>
            </w:tcBorders>
            <w:noWrap/>
            <w:vAlign w:val="center"/>
          </w:tcPr>
          <w:p>
            <w:pPr>
              <w:spacing w:before="182" w:line="222" w:lineRule="auto"/>
              <w:ind w:left="150"/>
              <w:rPr>
                <w:sz w:val="24"/>
                <w:szCs w:val="24"/>
              </w:rPr>
            </w:pPr>
            <w:r>
              <w:rPr>
                <w:spacing w:val="-3"/>
                <w:sz w:val="24"/>
                <w:szCs w:val="24"/>
              </w:rPr>
              <w:t>建设时间</w:t>
            </w:r>
          </w:p>
        </w:tc>
        <w:tc>
          <w:tcPr>
            <w:tcW w:w="1430" w:type="dxa"/>
            <w:tcBorders>
              <w:top w:val="single" w:color="auto" w:sz="4" w:space="0"/>
            </w:tcBorders>
            <w:noWrap/>
            <w:vAlign w:val="center"/>
          </w:tcPr>
          <w:p>
            <w:pPr>
              <w:spacing w:before="34" w:line="206" w:lineRule="auto"/>
              <w:ind w:left="483" w:right="40" w:hanging="405"/>
              <w:jc w:val="center"/>
              <w:rPr>
                <w:spacing w:val="5"/>
                <w:sz w:val="24"/>
                <w:szCs w:val="24"/>
              </w:rPr>
            </w:pPr>
            <w:r>
              <w:rPr>
                <w:spacing w:val="-10"/>
                <w:sz w:val="24"/>
                <w:szCs w:val="24"/>
              </w:rPr>
              <w:t>区县、</w:t>
            </w:r>
          </w:p>
          <w:p>
            <w:pPr>
              <w:spacing w:before="34" w:line="206" w:lineRule="auto"/>
              <w:ind w:left="483" w:right="40" w:hanging="405"/>
              <w:jc w:val="center"/>
              <w:rPr>
                <w:sz w:val="24"/>
                <w:szCs w:val="24"/>
              </w:rPr>
            </w:pPr>
            <w:r>
              <w:rPr>
                <w:spacing w:val="-10"/>
                <w:sz w:val="24"/>
                <w:szCs w:val="24"/>
              </w:rPr>
              <w:t>开</w:t>
            </w:r>
            <w:r>
              <w:rPr>
                <w:spacing w:val="-6"/>
                <w:sz w:val="24"/>
                <w:szCs w:val="24"/>
              </w:rPr>
              <w:t>发区</w:t>
            </w:r>
          </w:p>
        </w:tc>
        <w:tc>
          <w:tcPr>
            <w:tcW w:w="3590" w:type="dxa"/>
            <w:tcBorders>
              <w:top w:val="single" w:color="auto" w:sz="4" w:space="0"/>
            </w:tcBorders>
            <w:noWrap/>
            <w:vAlign w:val="center"/>
          </w:tcPr>
          <w:p>
            <w:pPr>
              <w:spacing w:before="182" w:line="222" w:lineRule="auto"/>
              <w:ind w:left="1087"/>
              <w:rPr>
                <w:sz w:val="24"/>
                <w:szCs w:val="24"/>
              </w:rPr>
            </w:pPr>
            <w:r>
              <w:rPr>
                <w:spacing w:val="-2"/>
                <w:sz w:val="24"/>
                <w:szCs w:val="24"/>
              </w:rPr>
              <w:t>建设项目社区</w:t>
            </w:r>
          </w:p>
        </w:tc>
        <w:tc>
          <w:tcPr>
            <w:tcW w:w="1983" w:type="dxa"/>
            <w:tcBorders>
              <w:top w:val="single" w:color="auto" w:sz="4" w:space="0"/>
            </w:tcBorders>
            <w:noWrap/>
            <w:vAlign w:val="center"/>
          </w:tcPr>
          <w:p>
            <w:pPr>
              <w:spacing w:before="182" w:line="222" w:lineRule="auto"/>
              <w:ind w:left="521"/>
              <w:rPr>
                <w:sz w:val="24"/>
                <w:szCs w:val="24"/>
              </w:rPr>
            </w:pPr>
            <w:r>
              <w:rPr>
                <w:spacing w:val="-3"/>
                <w:sz w:val="24"/>
                <w:szCs w:val="24"/>
              </w:rPr>
              <w:t>建设模式</w:t>
            </w:r>
          </w:p>
        </w:tc>
        <w:tc>
          <w:tcPr>
            <w:tcW w:w="1598" w:type="dxa"/>
            <w:tcBorders>
              <w:top w:val="single" w:color="auto" w:sz="4" w:space="0"/>
            </w:tcBorders>
            <w:noWrap/>
            <w:vAlign w:val="center"/>
          </w:tcPr>
          <w:p>
            <w:pPr>
              <w:spacing w:before="34" w:line="206" w:lineRule="auto"/>
              <w:ind w:left="468" w:right="304" w:hanging="140"/>
              <w:jc w:val="center"/>
              <w:rPr>
                <w:sz w:val="24"/>
                <w:szCs w:val="24"/>
              </w:rPr>
            </w:pPr>
            <w:r>
              <w:rPr>
                <w:spacing w:val="-3"/>
                <w:sz w:val="24"/>
                <w:szCs w:val="24"/>
              </w:rPr>
              <w:t>建设规模</w:t>
            </w:r>
            <w:r>
              <w:rPr>
                <w:spacing w:val="-16"/>
                <w:sz w:val="24"/>
                <w:szCs w:val="24"/>
              </w:rPr>
              <w:t>（㎡）</w:t>
            </w:r>
          </w:p>
        </w:tc>
        <w:tc>
          <w:tcPr>
            <w:tcW w:w="2426" w:type="dxa"/>
            <w:tcBorders>
              <w:top w:val="single" w:color="auto" w:sz="4" w:space="0"/>
              <w:right w:val="single" w:color="auto" w:sz="4" w:space="0"/>
            </w:tcBorders>
            <w:noWrap/>
            <w:vAlign w:val="center"/>
          </w:tcPr>
          <w:p>
            <w:pPr>
              <w:spacing w:before="182" w:line="222" w:lineRule="auto"/>
              <w:jc w:val="center"/>
              <w:rPr>
                <w:sz w:val="24"/>
                <w:szCs w:val="24"/>
              </w:rPr>
            </w:pPr>
            <w:r>
              <w:rPr>
                <w:spacing w:val="-5"/>
                <w:sz w:val="24"/>
                <w:szCs w:val="24"/>
              </w:rPr>
              <w:t>备注</w:t>
            </w:r>
          </w:p>
        </w:tc>
      </w:tr>
      <w:tr>
        <w:tblPrEx>
          <w:tblBorders>
            <w:top w:val="none" w:color="auto" w:sz="0" w:space="0"/>
            <w:left w:val="none" w:color="auto" w:sz="0" w:space="0"/>
            <w:bottom w:val="none" w:color="auto" w:sz="0"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667" w:hRule="atLeast"/>
          <w:jc w:val="center"/>
        </w:trPr>
        <w:tc>
          <w:tcPr>
            <w:tcW w:w="994" w:type="dxa"/>
            <w:tcBorders>
              <w:top w:val="single" w:color="auto" w:sz="4" w:space="0"/>
              <w:left w:val="single" w:color="auto" w:sz="4" w:space="0"/>
              <w:bottom w:val="single" w:color="auto" w:sz="4" w:space="0"/>
              <w:right w:val="single" w:color="auto" w:sz="4" w:space="0"/>
            </w:tcBorders>
            <w:noWrap/>
            <w:vAlign w:val="center"/>
          </w:tcPr>
          <w:p>
            <w:pPr>
              <w:pStyle w:val="13"/>
              <w:spacing w:before="84" w:line="174" w:lineRule="auto"/>
              <w:ind w:left="405"/>
              <w:rPr>
                <w:rFonts w:ascii="Times New Roman" w:hAnsi="Times New Roman" w:cs="Times New Roman"/>
              </w:rPr>
            </w:pPr>
            <w:r>
              <w:rPr>
                <w:rFonts w:ascii="Times New Roman" w:hAnsi="Times New Roman" w:cs="Times New Roman"/>
                <w:spacing w:val="-7"/>
              </w:rPr>
              <w:t>1</w:t>
            </w:r>
          </w:p>
        </w:tc>
        <w:tc>
          <w:tcPr>
            <w:tcW w:w="1238" w:type="dxa"/>
            <w:tcBorders>
              <w:top w:val="single" w:color="auto" w:sz="4" w:space="0"/>
              <w:left w:val="single" w:color="auto" w:sz="4" w:space="0"/>
              <w:bottom w:val="single" w:color="auto" w:sz="4" w:space="0"/>
              <w:right w:val="single" w:color="auto" w:sz="4" w:space="0"/>
            </w:tcBorders>
            <w:noWrap/>
            <w:vAlign w:val="center"/>
          </w:tcPr>
          <w:p>
            <w:pPr>
              <w:jc w:val="center"/>
              <w:rPr>
                <w:sz w:val="24"/>
                <w:szCs w:val="24"/>
              </w:rPr>
            </w:pPr>
            <w:r>
              <w:rPr>
                <w:rFonts w:eastAsia="方正仿宋_GB2312"/>
                <w:spacing w:val="-3"/>
                <w:sz w:val="24"/>
                <w:szCs w:val="24"/>
              </w:rPr>
              <w:t>2024年</w:t>
            </w:r>
          </w:p>
        </w:tc>
        <w:tc>
          <w:tcPr>
            <w:tcW w:w="1430" w:type="dxa"/>
            <w:tcBorders>
              <w:top w:val="single" w:color="auto" w:sz="4" w:space="0"/>
              <w:left w:val="single" w:color="auto" w:sz="4" w:space="0"/>
              <w:bottom w:val="single" w:color="auto" w:sz="4" w:space="0"/>
              <w:right w:val="single" w:color="auto" w:sz="4" w:space="0"/>
            </w:tcBorders>
            <w:noWrap/>
            <w:vAlign w:val="center"/>
          </w:tcPr>
          <w:p>
            <w:pPr>
              <w:pStyle w:val="13"/>
              <w:spacing w:before="48" w:line="202" w:lineRule="auto"/>
              <w:ind w:left="375"/>
              <w:rPr>
                <w:rFonts w:ascii="Times New Roman" w:hAnsi="Times New Roman" w:eastAsia="方正仿宋_GB2312" w:cs="Times New Roman"/>
              </w:rPr>
            </w:pPr>
            <w:r>
              <w:rPr>
                <w:rFonts w:ascii="Times New Roman" w:hAnsi="Times New Roman" w:eastAsia="方正仿宋_GB2312" w:cs="Times New Roman"/>
                <w:spacing w:val="-8"/>
              </w:rPr>
              <w:t>临潼区</w:t>
            </w:r>
          </w:p>
        </w:tc>
        <w:tc>
          <w:tcPr>
            <w:tcW w:w="3590" w:type="dxa"/>
            <w:tcBorders>
              <w:top w:val="single" w:color="auto" w:sz="4" w:space="0"/>
              <w:left w:val="single" w:color="auto" w:sz="4" w:space="0"/>
              <w:bottom w:val="single" w:color="auto" w:sz="4" w:space="0"/>
              <w:right w:val="single" w:color="auto" w:sz="4" w:space="0"/>
            </w:tcBorders>
            <w:noWrap/>
            <w:vAlign w:val="center"/>
          </w:tcPr>
          <w:p>
            <w:pPr>
              <w:pStyle w:val="13"/>
              <w:spacing w:line="202" w:lineRule="auto"/>
              <w:jc w:val="center"/>
              <w:rPr>
                <w:rFonts w:ascii="Times New Roman" w:hAnsi="Times New Roman" w:eastAsia="方正仿宋_GB2312" w:cs="Times New Roman"/>
                <w:spacing w:val="-2"/>
              </w:rPr>
            </w:pPr>
            <w:r>
              <w:rPr>
                <w:rFonts w:ascii="Times New Roman" w:hAnsi="Times New Roman" w:eastAsia="方正仿宋_GB2312" w:cs="Times New Roman"/>
                <w:spacing w:val="-2"/>
              </w:rPr>
              <w:t>秦陵街道秦陵社区</w:t>
            </w:r>
          </w:p>
        </w:tc>
        <w:tc>
          <w:tcPr>
            <w:tcW w:w="1983" w:type="dxa"/>
            <w:tcBorders>
              <w:top w:val="single" w:color="auto" w:sz="4" w:space="0"/>
              <w:left w:val="single" w:color="auto" w:sz="4" w:space="0"/>
              <w:bottom w:val="single" w:color="auto" w:sz="4" w:space="0"/>
              <w:right w:val="single" w:color="auto" w:sz="4" w:space="0"/>
            </w:tcBorders>
            <w:noWrap/>
            <w:vAlign w:val="center"/>
          </w:tcPr>
          <w:p>
            <w:pPr>
              <w:pStyle w:val="13"/>
              <w:spacing w:line="202" w:lineRule="auto"/>
              <w:jc w:val="center"/>
              <w:rPr>
                <w:rFonts w:ascii="Times New Roman" w:hAnsi="Times New Roman" w:eastAsia="方正仿宋_GB2312" w:cs="Times New Roman"/>
                <w:spacing w:val="-2"/>
              </w:rPr>
            </w:pPr>
            <w:r>
              <w:rPr>
                <w:rFonts w:ascii="Times New Roman" w:hAnsi="Times New Roman" w:eastAsia="方正仿宋_GB2312" w:cs="Times New Roman"/>
                <w:spacing w:val="-2"/>
              </w:rPr>
              <w:t>综合体</w:t>
            </w:r>
          </w:p>
        </w:tc>
        <w:tc>
          <w:tcPr>
            <w:tcW w:w="1598" w:type="dxa"/>
            <w:tcBorders>
              <w:top w:val="single" w:color="auto" w:sz="4" w:space="0"/>
              <w:left w:val="single" w:color="auto" w:sz="4" w:space="0"/>
              <w:bottom w:val="single" w:color="auto" w:sz="4" w:space="0"/>
              <w:right w:val="single" w:color="auto" w:sz="4" w:space="0"/>
            </w:tcBorders>
            <w:noWrap/>
            <w:vAlign w:val="center"/>
          </w:tcPr>
          <w:p>
            <w:pPr>
              <w:pStyle w:val="13"/>
              <w:spacing w:line="202" w:lineRule="auto"/>
              <w:jc w:val="center"/>
              <w:rPr>
                <w:rFonts w:ascii="Times New Roman" w:hAnsi="Times New Roman" w:eastAsia="方正仿宋_GB2312" w:cs="Times New Roman"/>
                <w:spacing w:val="-2"/>
              </w:rPr>
            </w:pPr>
            <w:r>
              <w:rPr>
                <w:rFonts w:ascii="Times New Roman" w:hAnsi="Times New Roman" w:eastAsia="方正仿宋_GB2312" w:cs="Times New Roman"/>
                <w:spacing w:val="-2"/>
              </w:rPr>
              <w:t>1200</w:t>
            </w:r>
          </w:p>
        </w:tc>
        <w:tc>
          <w:tcPr>
            <w:tcW w:w="2426" w:type="dxa"/>
            <w:tcBorders>
              <w:top w:val="single" w:color="auto" w:sz="4" w:space="0"/>
              <w:left w:val="single" w:color="auto" w:sz="4" w:space="0"/>
              <w:bottom w:val="single" w:color="auto" w:sz="4" w:space="0"/>
              <w:right w:val="single" w:color="auto" w:sz="4" w:space="0"/>
            </w:tcBorders>
            <w:noWrap/>
            <w:vAlign w:val="center"/>
          </w:tcPr>
          <w:p>
            <w:pPr>
              <w:pStyle w:val="13"/>
              <w:spacing w:line="202" w:lineRule="auto"/>
              <w:jc w:val="center"/>
              <w:rPr>
                <w:rFonts w:ascii="Times New Roman" w:hAnsi="Times New Roman" w:eastAsia="方正仿宋_GB2312" w:cs="Times New Roman"/>
                <w:spacing w:val="-2"/>
              </w:rPr>
            </w:pPr>
            <w:r>
              <w:rPr>
                <w:rFonts w:ascii="Times New Roman" w:hAnsi="Times New Roman" w:eastAsia="方正仿宋_GB2312" w:cs="Times New Roman"/>
                <w:spacing w:val="-2"/>
              </w:rPr>
              <w:t>已收房</w:t>
            </w:r>
          </w:p>
        </w:tc>
      </w:tr>
      <w:tr>
        <w:tblPrEx>
          <w:tblBorders>
            <w:top w:val="none" w:color="auto" w:sz="0" w:space="0"/>
            <w:left w:val="none" w:color="auto" w:sz="0" w:space="0"/>
            <w:bottom w:val="none" w:color="auto" w:sz="0"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749" w:hRule="atLeast"/>
          <w:jc w:val="center"/>
        </w:trPr>
        <w:tc>
          <w:tcPr>
            <w:tcW w:w="994" w:type="dxa"/>
            <w:tcBorders>
              <w:top w:val="single" w:color="auto" w:sz="4" w:space="0"/>
              <w:left w:val="single" w:color="auto" w:sz="4" w:space="0"/>
              <w:bottom w:val="single" w:color="auto" w:sz="4" w:space="0"/>
              <w:right w:val="single" w:color="auto" w:sz="4" w:space="0"/>
            </w:tcBorders>
            <w:noWrap/>
            <w:vAlign w:val="center"/>
          </w:tcPr>
          <w:p>
            <w:pPr>
              <w:pStyle w:val="13"/>
              <w:spacing w:before="84" w:line="174" w:lineRule="auto"/>
              <w:ind w:left="405"/>
              <w:rPr>
                <w:rFonts w:ascii="Times New Roman" w:hAnsi="Times New Roman" w:cs="Times New Roman"/>
                <w:spacing w:val="-7"/>
                <w:lang w:eastAsia="zh-CN"/>
              </w:rPr>
            </w:pPr>
            <w:r>
              <w:rPr>
                <w:rFonts w:ascii="Times New Roman" w:hAnsi="Times New Roman" w:cs="Times New Roman"/>
                <w:spacing w:val="-7"/>
                <w:lang w:eastAsia="zh-CN"/>
              </w:rPr>
              <w:t>2</w:t>
            </w:r>
          </w:p>
        </w:tc>
        <w:tc>
          <w:tcPr>
            <w:tcW w:w="1238" w:type="dxa"/>
            <w:tcBorders>
              <w:top w:val="single" w:color="auto" w:sz="4" w:space="0"/>
              <w:left w:val="single" w:color="auto" w:sz="4" w:space="0"/>
              <w:bottom w:val="single" w:color="auto" w:sz="4" w:space="0"/>
              <w:right w:val="single" w:color="auto" w:sz="4" w:space="0"/>
            </w:tcBorders>
            <w:noWrap/>
            <w:vAlign w:val="center"/>
          </w:tcPr>
          <w:p>
            <w:pPr>
              <w:jc w:val="center"/>
              <w:rPr>
                <w:sz w:val="24"/>
                <w:szCs w:val="24"/>
              </w:rPr>
            </w:pPr>
            <w:r>
              <w:rPr>
                <w:rFonts w:eastAsia="方正仿宋_GB2312"/>
                <w:spacing w:val="-3"/>
                <w:sz w:val="24"/>
                <w:szCs w:val="24"/>
              </w:rPr>
              <w:t>2025年</w:t>
            </w:r>
          </w:p>
        </w:tc>
        <w:tc>
          <w:tcPr>
            <w:tcW w:w="1430" w:type="dxa"/>
            <w:tcBorders>
              <w:top w:val="single" w:color="auto" w:sz="4" w:space="0"/>
              <w:left w:val="single" w:color="auto" w:sz="4" w:space="0"/>
              <w:bottom w:val="single" w:color="auto" w:sz="4" w:space="0"/>
              <w:right w:val="single" w:color="auto" w:sz="4" w:space="0"/>
            </w:tcBorders>
            <w:noWrap/>
            <w:vAlign w:val="center"/>
          </w:tcPr>
          <w:p>
            <w:pPr>
              <w:pStyle w:val="13"/>
              <w:spacing w:before="48" w:line="202" w:lineRule="auto"/>
              <w:ind w:left="375"/>
              <w:rPr>
                <w:rFonts w:ascii="Times New Roman" w:hAnsi="Times New Roman" w:eastAsia="方正仿宋_GB2312" w:cs="Times New Roman"/>
                <w:spacing w:val="-8"/>
              </w:rPr>
            </w:pPr>
            <w:r>
              <w:rPr>
                <w:rFonts w:ascii="Times New Roman" w:hAnsi="Times New Roman" w:eastAsia="方正仿宋_GB2312" w:cs="Times New Roman"/>
                <w:spacing w:val="-8"/>
              </w:rPr>
              <w:t>临潼区</w:t>
            </w:r>
          </w:p>
        </w:tc>
        <w:tc>
          <w:tcPr>
            <w:tcW w:w="3590" w:type="dxa"/>
            <w:tcBorders>
              <w:top w:val="single" w:color="auto" w:sz="4" w:space="0"/>
              <w:left w:val="single" w:color="auto" w:sz="4" w:space="0"/>
              <w:bottom w:val="single" w:color="auto" w:sz="4" w:space="0"/>
              <w:right w:val="single" w:color="auto" w:sz="4" w:space="0"/>
            </w:tcBorders>
            <w:noWrap/>
            <w:vAlign w:val="center"/>
          </w:tcPr>
          <w:p>
            <w:pPr>
              <w:pStyle w:val="13"/>
              <w:spacing w:before="60" w:line="207" w:lineRule="auto"/>
              <w:jc w:val="center"/>
              <w:rPr>
                <w:rFonts w:ascii="Times New Roman" w:hAnsi="Times New Roman" w:eastAsia="方正仿宋_GB2312" w:cs="Times New Roman"/>
                <w:lang w:eastAsia="zh-CN"/>
              </w:rPr>
            </w:pPr>
            <w:r>
              <w:rPr>
                <w:rFonts w:ascii="Times New Roman" w:hAnsi="Times New Roman" w:eastAsia="方正仿宋_GB2312" w:cs="Times New Roman"/>
                <w:spacing w:val="-1"/>
                <w:lang w:eastAsia="zh-CN"/>
              </w:rPr>
              <w:t>斜口街道骊山新家园社区</w:t>
            </w:r>
          </w:p>
        </w:tc>
        <w:tc>
          <w:tcPr>
            <w:tcW w:w="1983" w:type="dxa"/>
            <w:tcBorders>
              <w:top w:val="single" w:color="auto" w:sz="4" w:space="0"/>
              <w:left w:val="single" w:color="auto" w:sz="4" w:space="0"/>
              <w:bottom w:val="single" w:color="auto" w:sz="4" w:space="0"/>
              <w:right w:val="single" w:color="auto" w:sz="4" w:space="0"/>
            </w:tcBorders>
            <w:noWrap/>
            <w:vAlign w:val="center"/>
          </w:tcPr>
          <w:p>
            <w:pPr>
              <w:pStyle w:val="13"/>
              <w:spacing w:before="60" w:line="207" w:lineRule="auto"/>
              <w:ind w:left="639"/>
              <w:rPr>
                <w:rFonts w:ascii="Times New Roman" w:hAnsi="Times New Roman" w:eastAsia="方正仿宋_GB2312" w:cs="Times New Roman"/>
              </w:rPr>
            </w:pPr>
            <w:r>
              <w:rPr>
                <w:rFonts w:ascii="Times New Roman" w:hAnsi="Times New Roman" w:eastAsia="方正仿宋_GB2312" w:cs="Times New Roman"/>
                <w:spacing w:val="-5"/>
              </w:rPr>
              <w:t>综合体</w:t>
            </w:r>
          </w:p>
        </w:tc>
        <w:tc>
          <w:tcPr>
            <w:tcW w:w="1598" w:type="dxa"/>
            <w:tcBorders>
              <w:top w:val="single" w:color="auto" w:sz="4" w:space="0"/>
              <w:left w:val="single" w:color="auto" w:sz="4" w:space="0"/>
              <w:bottom w:val="single" w:color="auto" w:sz="4" w:space="0"/>
              <w:right w:val="single" w:color="auto" w:sz="4" w:space="0"/>
            </w:tcBorders>
            <w:noWrap/>
            <w:vAlign w:val="center"/>
          </w:tcPr>
          <w:p>
            <w:pPr>
              <w:spacing w:before="83" w:line="188" w:lineRule="auto"/>
              <w:ind w:left="566"/>
              <w:rPr>
                <w:rFonts w:eastAsia="方正仿宋_GB2312"/>
                <w:sz w:val="24"/>
                <w:szCs w:val="24"/>
              </w:rPr>
            </w:pPr>
            <w:r>
              <w:rPr>
                <w:rFonts w:eastAsia="方正仿宋_GB2312"/>
                <w:spacing w:val="-2"/>
                <w:sz w:val="24"/>
                <w:szCs w:val="24"/>
              </w:rPr>
              <w:t>2000</w:t>
            </w:r>
          </w:p>
        </w:tc>
        <w:tc>
          <w:tcPr>
            <w:tcW w:w="2426" w:type="dxa"/>
            <w:tcBorders>
              <w:top w:val="single" w:color="auto" w:sz="4" w:space="0"/>
              <w:left w:val="single" w:color="auto" w:sz="4" w:space="0"/>
              <w:bottom w:val="single" w:color="auto" w:sz="4" w:space="0"/>
              <w:right w:val="single" w:color="auto" w:sz="4" w:space="0"/>
            </w:tcBorders>
            <w:noWrap/>
            <w:vAlign w:val="center"/>
          </w:tcPr>
          <w:p>
            <w:pPr>
              <w:pStyle w:val="13"/>
              <w:spacing w:before="60" w:line="207" w:lineRule="auto"/>
              <w:jc w:val="center"/>
              <w:rPr>
                <w:rFonts w:ascii="Times New Roman" w:hAnsi="Times New Roman" w:eastAsia="方正仿宋_GB2312" w:cs="Times New Roman"/>
              </w:rPr>
            </w:pPr>
            <w:r>
              <w:rPr>
                <w:rFonts w:ascii="Times New Roman" w:hAnsi="Times New Roman" w:eastAsia="方正仿宋_GB2312" w:cs="Times New Roman"/>
                <w:spacing w:val="-12"/>
              </w:rPr>
              <w:t>已收房</w:t>
            </w:r>
          </w:p>
        </w:tc>
      </w:tr>
      <w:tr>
        <w:tblPrEx>
          <w:tblBorders>
            <w:top w:val="none" w:color="auto" w:sz="0" w:space="0"/>
            <w:left w:val="none" w:color="auto" w:sz="0" w:space="0"/>
            <w:bottom w:val="none" w:color="auto" w:sz="0"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780" w:hRule="atLeast"/>
          <w:jc w:val="center"/>
        </w:trPr>
        <w:tc>
          <w:tcPr>
            <w:tcW w:w="994" w:type="dxa"/>
            <w:tcBorders>
              <w:top w:val="single" w:color="auto" w:sz="4" w:space="0"/>
              <w:left w:val="single" w:color="auto" w:sz="4" w:space="0"/>
              <w:bottom w:val="single" w:color="auto" w:sz="4" w:space="0"/>
              <w:right w:val="single" w:color="auto" w:sz="4" w:space="0"/>
            </w:tcBorders>
            <w:noWrap/>
            <w:vAlign w:val="center"/>
          </w:tcPr>
          <w:p>
            <w:pPr>
              <w:pStyle w:val="13"/>
              <w:spacing w:before="84" w:line="174" w:lineRule="auto"/>
              <w:ind w:left="405"/>
              <w:rPr>
                <w:rFonts w:ascii="Times New Roman" w:hAnsi="Times New Roman" w:cs="Times New Roman"/>
                <w:spacing w:val="-7"/>
                <w:lang w:eastAsia="zh-CN"/>
              </w:rPr>
            </w:pPr>
            <w:r>
              <w:rPr>
                <w:rFonts w:ascii="Times New Roman" w:hAnsi="Times New Roman" w:cs="Times New Roman"/>
                <w:spacing w:val="-7"/>
                <w:lang w:eastAsia="zh-CN"/>
              </w:rPr>
              <w:t>3</w:t>
            </w:r>
          </w:p>
        </w:tc>
        <w:tc>
          <w:tcPr>
            <w:tcW w:w="1238" w:type="dxa"/>
            <w:vMerge w:val="restart"/>
            <w:tcBorders>
              <w:top w:val="single" w:color="auto" w:sz="4" w:space="0"/>
              <w:left w:val="single" w:color="auto" w:sz="4" w:space="0"/>
              <w:right w:val="single" w:color="auto" w:sz="4" w:space="0"/>
            </w:tcBorders>
            <w:noWrap/>
            <w:vAlign w:val="center"/>
          </w:tcPr>
          <w:p>
            <w:pPr>
              <w:jc w:val="center"/>
              <w:rPr>
                <w:sz w:val="24"/>
                <w:szCs w:val="24"/>
              </w:rPr>
            </w:pPr>
            <w:r>
              <w:rPr>
                <w:rFonts w:eastAsia="方正仿宋_GB2312"/>
                <w:spacing w:val="-3"/>
                <w:sz w:val="24"/>
                <w:szCs w:val="24"/>
              </w:rPr>
              <w:t>2026年</w:t>
            </w:r>
          </w:p>
        </w:tc>
        <w:tc>
          <w:tcPr>
            <w:tcW w:w="1430" w:type="dxa"/>
            <w:vMerge w:val="restart"/>
            <w:tcBorders>
              <w:top w:val="single" w:color="auto" w:sz="4" w:space="0"/>
              <w:left w:val="single" w:color="auto" w:sz="4" w:space="0"/>
              <w:right w:val="single" w:color="auto" w:sz="4" w:space="0"/>
            </w:tcBorders>
            <w:noWrap/>
            <w:vAlign w:val="center"/>
          </w:tcPr>
          <w:p>
            <w:pPr>
              <w:pStyle w:val="13"/>
              <w:spacing w:before="48" w:line="202" w:lineRule="auto"/>
              <w:ind w:left="375"/>
              <w:rPr>
                <w:rFonts w:ascii="Times New Roman" w:hAnsi="Times New Roman" w:eastAsia="方正仿宋_GB2312" w:cs="Times New Roman"/>
                <w:spacing w:val="-8"/>
              </w:rPr>
            </w:pPr>
            <w:r>
              <w:rPr>
                <w:rFonts w:ascii="Times New Roman" w:hAnsi="Times New Roman" w:eastAsia="方正仿宋_GB2312" w:cs="Times New Roman"/>
                <w:spacing w:val="-8"/>
              </w:rPr>
              <w:t>临潼区</w:t>
            </w:r>
          </w:p>
        </w:tc>
        <w:tc>
          <w:tcPr>
            <w:tcW w:w="3590" w:type="dxa"/>
            <w:tcBorders>
              <w:top w:val="single" w:color="auto" w:sz="4" w:space="0"/>
              <w:left w:val="single" w:color="auto" w:sz="4" w:space="0"/>
              <w:bottom w:val="single" w:color="auto" w:sz="4" w:space="0"/>
              <w:right w:val="single" w:color="auto" w:sz="4" w:space="0"/>
            </w:tcBorders>
            <w:noWrap/>
            <w:vAlign w:val="center"/>
          </w:tcPr>
          <w:p>
            <w:pPr>
              <w:pStyle w:val="13"/>
              <w:spacing w:before="48" w:line="202" w:lineRule="auto"/>
              <w:jc w:val="center"/>
              <w:rPr>
                <w:rFonts w:ascii="Times New Roman" w:hAnsi="Times New Roman" w:eastAsia="方正仿宋_GB2312" w:cs="Times New Roman"/>
                <w:spacing w:val="-2"/>
                <w:lang w:eastAsia="zh-CN"/>
              </w:rPr>
            </w:pPr>
            <w:r>
              <w:rPr>
                <w:rFonts w:ascii="Times New Roman" w:hAnsi="Times New Roman" w:eastAsia="方正仿宋_GB2312" w:cs="Times New Roman"/>
                <w:spacing w:val="-2"/>
                <w:lang w:eastAsia="zh-CN"/>
              </w:rPr>
              <w:t>秦陵街道秦陵科技社区</w:t>
            </w:r>
          </w:p>
        </w:tc>
        <w:tc>
          <w:tcPr>
            <w:tcW w:w="1983" w:type="dxa"/>
            <w:tcBorders>
              <w:top w:val="single" w:color="auto" w:sz="4" w:space="0"/>
              <w:left w:val="single" w:color="auto" w:sz="4" w:space="0"/>
              <w:bottom w:val="single" w:color="auto" w:sz="4" w:space="0"/>
              <w:right w:val="single" w:color="auto" w:sz="4" w:space="0"/>
            </w:tcBorders>
            <w:noWrap/>
            <w:vAlign w:val="center"/>
          </w:tcPr>
          <w:p>
            <w:pPr>
              <w:pStyle w:val="13"/>
              <w:spacing w:before="48" w:line="202" w:lineRule="auto"/>
              <w:ind w:left="639"/>
              <w:rPr>
                <w:rFonts w:ascii="Times New Roman" w:hAnsi="Times New Roman" w:eastAsia="方正仿宋_GB2312" w:cs="Times New Roman"/>
                <w:spacing w:val="-2"/>
              </w:rPr>
            </w:pPr>
            <w:r>
              <w:rPr>
                <w:rFonts w:ascii="Times New Roman" w:hAnsi="Times New Roman" w:eastAsia="方正仿宋_GB2312" w:cs="Times New Roman"/>
                <w:spacing w:val="-5"/>
              </w:rPr>
              <w:t>综合体</w:t>
            </w:r>
          </w:p>
        </w:tc>
        <w:tc>
          <w:tcPr>
            <w:tcW w:w="1598" w:type="dxa"/>
            <w:tcBorders>
              <w:top w:val="single" w:color="auto" w:sz="4" w:space="0"/>
              <w:left w:val="single" w:color="auto" w:sz="4" w:space="0"/>
              <w:bottom w:val="single" w:color="auto" w:sz="4" w:space="0"/>
              <w:right w:val="single" w:color="auto" w:sz="4" w:space="0"/>
            </w:tcBorders>
            <w:noWrap/>
            <w:vAlign w:val="center"/>
          </w:tcPr>
          <w:p>
            <w:pPr>
              <w:spacing w:before="71" w:line="188" w:lineRule="auto"/>
              <w:ind w:left="589"/>
              <w:rPr>
                <w:rFonts w:eastAsia="方正仿宋_GB2312"/>
                <w:spacing w:val="-2"/>
                <w:sz w:val="24"/>
                <w:szCs w:val="24"/>
              </w:rPr>
            </w:pPr>
            <w:r>
              <w:rPr>
                <w:rFonts w:eastAsia="方正仿宋_GB2312"/>
                <w:spacing w:val="-8"/>
                <w:sz w:val="24"/>
                <w:szCs w:val="24"/>
              </w:rPr>
              <w:t>1800</w:t>
            </w:r>
          </w:p>
        </w:tc>
        <w:tc>
          <w:tcPr>
            <w:tcW w:w="2426" w:type="dxa"/>
            <w:tcBorders>
              <w:top w:val="single" w:color="auto" w:sz="4" w:space="0"/>
              <w:left w:val="single" w:color="auto" w:sz="4" w:space="0"/>
              <w:bottom w:val="single" w:color="auto" w:sz="4" w:space="0"/>
              <w:right w:val="single" w:color="auto" w:sz="4" w:space="0"/>
            </w:tcBorders>
            <w:noWrap/>
            <w:vAlign w:val="center"/>
          </w:tcPr>
          <w:p>
            <w:pPr>
              <w:pStyle w:val="13"/>
              <w:spacing w:before="48" w:line="202" w:lineRule="auto"/>
              <w:jc w:val="center"/>
              <w:rPr>
                <w:rFonts w:ascii="Times New Roman" w:hAnsi="Times New Roman" w:eastAsia="方正仿宋_GB2312" w:cs="Times New Roman"/>
                <w:spacing w:val="-2"/>
              </w:rPr>
            </w:pPr>
            <w:r>
              <w:rPr>
                <w:rFonts w:ascii="Times New Roman" w:hAnsi="Times New Roman" w:eastAsia="方正仿宋_GB2312" w:cs="Times New Roman"/>
                <w:spacing w:val="-12"/>
              </w:rPr>
              <w:t>已收房</w:t>
            </w:r>
          </w:p>
        </w:tc>
      </w:tr>
      <w:tr>
        <w:tblPrEx>
          <w:tblBorders>
            <w:top w:val="none" w:color="auto" w:sz="0" w:space="0"/>
            <w:left w:val="none" w:color="auto" w:sz="0" w:space="0"/>
            <w:bottom w:val="none" w:color="auto" w:sz="0"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825" w:hRule="atLeast"/>
          <w:jc w:val="center"/>
        </w:trPr>
        <w:tc>
          <w:tcPr>
            <w:tcW w:w="994" w:type="dxa"/>
            <w:tcBorders>
              <w:top w:val="single" w:color="auto" w:sz="4" w:space="0"/>
              <w:left w:val="single" w:color="auto" w:sz="4" w:space="0"/>
              <w:bottom w:val="single" w:color="auto" w:sz="4" w:space="0"/>
              <w:right w:val="single" w:color="auto" w:sz="4" w:space="0"/>
            </w:tcBorders>
            <w:noWrap/>
            <w:vAlign w:val="center"/>
          </w:tcPr>
          <w:p>
            <w:pPr>
              <w:pStyle w:val="13"/>
              <w:spacing w:before="84" w:line="174" w:lineRule="auto"/>
              <w:ind w:left="405"/>
              <w:rPr>
                <w:rFonts w:ascii="Times New Roman" w:hAnsi="Times New Roman" w:cs="Times New Roman"/>
                <w:spacing w:val="-7"/>
                <w:lang w:eastAsia="zh-CN"/>
              </w:rPr>
            </w:pPr>
            <w:r>
              <w:rPr>
                <w:rFonts w:ascii="Times New Roman" w:hAnsi="Times New Roman" w:cs="Times New Roman"/>
                <w:spacing w:val="-7"/>
                <w:lang w:eastAsia="zh-CN"/>
              </w:rPr>
              <w:t>4</w:t>
            </w:r>
          </w:p>
        </w:tc>
        <w:tc>
          <w:tcPr>
            <w:tcW w:w="1238" w:type="dxa"/>
            <w:vMerge w:val="continue"/>
            <w:tcBorders>
              <w:left w:val="single" w:color="auto" w:sz="4" w:space="0"/>
              <w:bottom w:val="single" w:color="auto" w:sz="4" w:space="0"/>
              <w:right w:val="single" w:color="auto" w:sz="4" w:space="0"/>
            </w:tcBorders>
            <w:noWrap/>
            <w:vAlign w:val="center"/>
          </w:tcPr>
          <w:p>
            <w:pPr>
              <w:jc w:val="center"/>
              <w:rPr>
                <w:sz w:val="24"/>
                <w:szCs w:val="24"/>
              </w:rPr>
            </w:pPr>
          </w:p>
        </w:tc>
        <w:tc>
          <w:tcPr>
            <w:tcW w:w="1430" w:type="dxa"/>
            <w:vMerge w:val="continue"/>
            <w:tcBorders>
              <w:left w:val="single" w:color="auto" w:sz="4" w:space="0"/>
              <w:bottom w:val="single" w:color="auto" w:sz="4" w:space="0"/>
              <w:right w:val="single" w:color="auto" w:sz="4" w:space="0"/>
            </w:tcBorders>
            <w:noWrap/>
            <w:vAlign w:val="center"/>
          </w:tcPr>
          <w:p>
            <w:pPr>
              <w:pStyle w:val="13"/>
              <w:spacing w:before="48" w:line="202" w:lineRule="auto"/>
              <w:ind w:left="375"/>
              <w:jc w:val="center"/>
              <w:rPr>
                <w:rFonts w:ascii="Times New Roman" w:hAnsi="Times New Roman" w:eastAsia="方正仿宋_GB2312" w:cs="Times New Roman"/>
                <w:spacing w:val="-8"/>
              </w:rPr>
            </w:pPr>
          </w:p>
        </w:tc>
        <w:tc>
          <w:tcPr>
            <w:tcW w:w="3590" w:type="dxa"/>
            <w:tcBorders>
              <w:top w:val="single" w:color="auto" w:sz="4" w:space="0"/>
              <w:left w:val="single" w:color="auto" w:sz="4" w:space="0"/>
              <w:bottom w:val="single" w:color="auto" w:sz="4" w:space="0"/>
              <w:right w:val="single" w:color="auto" w:sz="4" w:space="0"/>
            </w:tcBorders>
            <w:noWrap/>
            <w:vAlign w:val="center"/>
          </w:tcPr>
          <w:p>
            <w:pPr>
              <w:pStyle w:val="13"/>
              <w:spacing w:before="48" w:line="202" w:lineRule="auto"/>
              <w:jc w:val="center"/>
              <w:rPr>
                <w:rFonts w:ascii="Times New Roman" w:hAnsi="Times New Roman" w:eastAsia="方正仿宋_GB2312" w:cs="Times New Roman"/>
                <w:spacing w:val="-2"/>
              </w:rPr>
            </w:pPr>
            <w:r>
              <w:rPr>
                <w:rFonts w:ascii="Times New Roman" w:hAnsi="Times New Roman" w:eastAsia="方正仿宋_GB2312" w:cs="Times New Roman"/>
                <w:spacing w:val="-1"/>
              </w:rPr>
              <w:t>骊山街道东大街社区</w:t>
            </w:r>
          </w:p>
        </w:tc>
        <w:tc>
          <w:tcPr>
            <w:tcW w:w="1983" w:type="dxa"/>
            <w:tcBorders>
              <w:top w:val="single" w:color="auto" w:sz="4" w:space="0"/>
              <w:left w:val="single" w:color="auto" w:sz="4" w:space="0"/>
              <w:bottom w:val="single" w:color="auto" w:sz="4" w:space="0"/>
              <w:right w:val="single" w:color="auto" w:sz="4" w:space="0"/>
            </w:tcBorders>
            <w:noWrap/>
            <w:vAlign w:val="center"/>
          </w:tcPr>
          <w:p>
            <w:pPr>
              <w:pStyle w:val="13"/>
              <w:spacing w:before="48" w:line="202" w:lineRule="auto"/>
              <w:ind w:left="635"/>
              <w:rPr>
                <w:rFonts w:ascii="Times New Roman" w:hAnsi="Times New Roman" w:eastAsia="方正仿宋_GB2312" w:cs="Times New Roman"/>
                <w:spacing w:val="-2"/>
              </w:rPr>
            </w:pPr>
            <w:r>
              <w:rPr>
                <w:rFonts w:ascii="Times New Roman" w:hAnsi="Times New Roman" w:eastAsia="方正仿宋_GB2312" w:cs="Times New Roman"/>
                <w:spacing w:val="-3"/>
              </w:rPr>
              <w:t>插花式</w:t>
            </w:r>
          </w:p>
        </w:tc>
        <w:tc>
          <w:tcPr>
            <w:tcW w:w="1598" w:type="dxa"/>
            <w:tcBorders>
              <w:top w:val="single" w:color="auto" w:sz="4" w:space="0"/>
              <w:left w:val="single" w:color="auto" w:sz="4" w:space="0"/>
              <w:bottom w:val="single" w:color="auto" w:sz="4" w:space="0"/>
              <w:right w:val="single" w:color="auto" w:sz="4" w:space="0"/>
            </w:tcBorders>
            <w:noWrap/>
            <w:vAlign w:val="center"/>
          </w:tcPr>
          <w:p>
            <w:pPr>
              <w:spacing w:before="71" w:line="188" w:lineRule="auto"/>
              <w:ind w:left="633"/>
              <w:rPr>
                <w:rFonts w:eastAsia="方正仿宋_GB2312"/>
                <w:spacing w:val="-2"/>
                <w:sz w:val="24"/>
                <w:szCs w:val="24"/>
              </w:rPr>
            </w:pPr>
            <w:r>
              <w:rPr>
                <w:rFonts w:eastAsia="方正仿宋_GB2312"/>
                <w:spacing w:val="-5"/>
                <w:sz w:val="24"/>
                <w:szCs w:val="24"/>
              </w:rPr>
              <w:t>800</w:t>
            </w:r>
          </w:p>
        </w:tc>
        <w:tc>
          <w:tcPr>
            <w:tcW w:w="2426" w:type="dxa"/>
            <w:tcBorders>
              <w:top w:val="single" w:color="auto" w:sz="4" w:space="0"/>
              <w:left w:val="single" w:color="auto" w:sz="4" w:space="0"/>
              <w:bottom w:val="single" w:color="auto" w:sz="4" w:space="0"/>
              <w:right w:val="single" w:color="auto" w:sz="4" w:space="0"/>
            </w:tcBorders>
            <w:noWrap/>
            <w:vAlign w:val="center"/>
          </w:tcPr>
          <w:p>
            <w:pPr>
              <w:pStyle w:val="13"/>
              <w:spacing w:before="48" w:line="202" w:lineRule="auto"/>
              <w:jc w:val="center"/>
              <w:rPr>
                <w:rFonts w:ascii="Times New Roman" w:hAnsi="Times New Roman" w:eastAsia="方正仿宋_GB2312" w:cs="Times New Roman"/>
                <w:spacing w:val="-2"/>
              </w:rPr>
            </w:pPr>
            <w:r>
              <w:rPr>
                <w:rFonts w:ascii="Times New Roman" w:hAnsi="Times New Roman" w:eastAsia="方正仿宋_GB2312" w:cs="Times New Roman"/>
                <w:spacing w:val="-12"/>
              </w:rPr>
              <w:t>已收房</w:t>
            </w:r>
          </w:p>
        </w:tc>
      </w:tr>
    </w:tbl>
    <w:p>
      <w:pPr>
        <w:pStyle w:val="2"/>
        <w:rPr>
          <w:rFonts w:hint="eastAsia"/>
        </w:rPr>
      </w:pPr>
    </w:p>
    <w:sectPr>
      <w:footerReference r:id="rId5" w:type="default"/>
      <w:footerReference r:id="rId6" w:type="even"/>
      <w:pgSz w:w="16838" w:h="11906" w:orient="landscape"/>
      <w:pgMar w:top="1418" w:right="1701" w:bottom="1418" w:left="1134" w:header="851" w:footer="1134" w:gutter="0"/>
      <w:pgNumType w:fmt="numberInDash"/>
      <w:cols w:space="425"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2312">
    <w:altName w:val="仿宋"/>
    <w:panose1 w:val="00000000000000000000"/>
    <w:charset w:val="00"/>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665613"/>
      <w:docPartObj>
        <w:docPartGallery w:val="autotext"/>
      </w:docPartObj>
    </w:sdtPr>
    <w:sdtEndPr>
      <w:rPr>
        <w:rFonts w:asciiTheme="minorEastAsia" w:hAnsiTheme="minorEastAsia" w:eastAsiaTheme="minorEastAsia"/>
        <w:sz w:val="28"/>
        <w:szCs w:val="28"/>
      </w:rPr>
    </w:sdtEndPr>
    <w:sdtContent>
      <w:p>
        <w:pPr>
          <w:pStyle w:val="6"/>
          <w:rPr>
            <w:rFonts w:asciiTheme="minorEastAsia" w:hAnsiTheme="minorEastAsia" w:eastAsiaTheme="minorEastAsia"/>
            <w:sz w:val="28"/>
            <w:szCs w:val="28"/>
          </w:rPr>
        </w:pPr>
        <w:r>
          <w:rPr>
            <w:rFonts w:hint="eastAsia"/>
          </w:rPr>
          <w:t xml:space="preserve">                                                                                    </w:t>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15 -</w:t>
        </w:r>
        <w:r>
          <w:rPr>
            <w:rFonts w:asciiTheme="minorEastAsia" w:hAnsiTheme="minorEastAsia" w:eastAsia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665600"/>
      <w:docPartObj>
        <w:docPartGallery w:val="autotext"/>
      </w:docPartObj>
    </w:sdtPr>
    <w:sdtEndPr>
      <w:rPr>
        <w:rFonts w:asciiTheme="minorEastAsia" w:hAnsiTheme="minorEastAsia" w:eastAsiaTheme="minorEastAsia"/>
        <w:sz w:val="28"/>
        <w:szCs w:val="28"/>
      </w:rPr>
    </w:sdtEndPr>
    <w:sdtContent>
      <w:p>
        <w:pPr>
          <w:pStyle w:val="6"/>
          <w:ind w:firstLine="180" w:firstLineChars="100"/>
          <w:jc w:val="both"/>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14 -</w:t>
        </w:r>
        <w:r>
          <w:rPr>
            <w:rFonts w:asciiTheme="minorEastAsia" w:hAnsiTheme="minorEastAsia" w:eastAsiaTheme="min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both"/>
      <w:rPr>
        <w:rFonts w:asciiTheme="minorEastAsia" w:hAnsiTheme="minorEastAsia" w:eastAsiaTheme="minorEastAsia"/>
        <w:sz w:val="28"/>
        <w:szCs w:val="28"/>
      </w:rPr>
    </w:pPr>
    <w:r>
      <w:rPr>
        <w:sz w:val="2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6"/>
                  <w:jc w:val="cente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17 -</w:t>
                </w:r>
                <w:r>
                  <w:rPr>
                    <w:rFonts w:asciiTheme="minorEastAsia" w:hAnsiTheme="minorEastAsia" w:eastAsiaTheme="minorEastAsia"/>
                    <w:sz w:val="28"/>
                    <w:szCs w:val="28"/>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Theme="minorEastAsia" w:hAnsiTheme="minorEastAsia" w:eastAsiaTheme="minorEastAsia"/>
        <w:sz w:val="28"/>
        <w:szCs w:val="28"/>
      </w:rPr>
    </w:pPr>
    <w:r>
      <w:rPr>
        <w:sz w:val="28"/>
      </w:rP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sdt>
                <w:sdtPr>
                  <w:id w:val="11665618"/>
                  <w:docPartObj>
                    <w:docPartGallery w:val="autotext"/>
                  </w:docPartObj>
                </w:sdtPr>
                <w:sdtEndPr>
                  <w:rPr>
                    <w:rFonts w:asciiTheme="minorEastAsia" w:hAnsiTheme="minorEastAsia" w:eastAsiaTheme="minorEastAsia"/>
                    <w:sz w:val="28"/>
                    <w:szCs w:val="28"/>
                  </w:rPr>
                </w:sdtEndPr>
                <w:sdtContent>
                  <w:p>
                    <w:pPr>
                      <w:pStyle w:val="6"/>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18 -</w:t>
                    </w:r>
                    <w:r>
                      <w:rPr>
                        <w:rFonts w:asciiTheme="minorEastAsia" w:hAnsiTheme="minorEastAsia" w:eastAsiaTheme="minorEastAsia"/>
                        <w:sz w:val="28"/>
                        <w:szCs w:val="28"/>
                      </w:rPr>
                      <w:fldChar w:fldCharType="end"/>
                    </w:r>
                  </w:p>
                </w:sdtContent>
              </w:sdt>
              <w:p>
                <w:pPr>
                  <w:pStyle w:val="2"/>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11C05D"/>
    <w:multiLevelType w:val="singleLevel"/>
    <w:tmpl w:val="3211C05D"/>
    <w:lvl w:ilvl="0" w:tentative="0">
      <w:start w:val="2"/>
      <w:numFmt w:val="decimal"/>
      <w:suff w:val="space"/>
      <w:lvlText w:val="%1."/>
      <w:lvlJc w:val="left"/>
    </w:lvl>
  </w:abstractNum>
  <w:abstractNum w:abstractNumId="1">
    <w:nsid w:val="4C5C7643"/>
    <w:multiLevelType w:val="singleLevel"/>
    <w:tmpl w:val="4C5C7643"/>
    <w:lvl w:ilvl="0" w:tentative="0">
      <w:start w:val="1"/>
      <w:numFmt w:val="chineseCounting"/>
      <w:suff w:val="nothing"/>
      <w:lvlText w:val="（%1）"/>
      <w:lvlJc w:val="left"/>
      <w:rPr>
        <w:rFonts w:hint="eastAsia"/>
      </w:rPr>
    </w:lvl>
  </w:abstractNum>
  <w:abstractNum w:abstractNumId="2">
    <w:nsid w:val="6FA2AB1B"/>
    <w:multiLevelType w:val="singleLevel"/>
    <w:tmpl w:val="6FA2AB1B"/>
    <w:lvl w:ilvl="0" w:tentative="0">
      <w:start w:val="3"/>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ExMzIxZjg2MWQyZjdlMjM5OWUzODRhYzA0MDVjYWYifQ=="/>
  </w:docVars>
  <w:rsids>
    <w:rsidRoot w:val="13345F19"/>
    <w:rsid w:val="002B53A0"/>
    <w:rsid w:val="004446AC"/>
    <w:rsid w:val="00854894"/>
    <w:rsid w:val="00916EFE"/>
    <w:rsid w:val="00BB39F5"/>
    <w:rsid w:val="00FB75F5"/>
    <w:rsid w:val="01BB7833"/>
    <w:rsid w:val="02C46BBB"/>
    <w:rsid w:val="047D06AE"/>
    <w:rsid w:val="0604678B"/>
    <w:rsid w:val="064029FC"/>
    <w:rsid w:val="086504F8"/>
    <w:rsid w:val="08BC4DAA"/>
    <w:rsid w:val="0E6C0832"/>
    <w:rsid w:val="10A67900"/>
    <w:rsid w:val="12A32349"/>
    <w:rsid w:val="13345F19"/>
    <w:rsid w:val="18603A31"/>
    <w:rsid w:val="1AB5530F"/>
    <w:rsid w:val="1B7144AA"/>
    <w:rsid w:val="1BEF22C9"/>
    <w:rsid w:val="1D8B05A9"/>
    <w:rsid w:val="1FE154EC"/>
    <w:rsid w:val="2080016D"/>
    <w:rsid w:val="21743000"/>
    <w:rsid w:val="21D81011"/>
    <w:rsid w:val="23B97EAE"/>
    <w:rsid w:val="23C245F9"/>
    <w:rsid w:val="275D6B12"/>
    <w:rsid w:val="282576A5"/>
    <w:rsid w:val="2B374A08"/>
    <w:rsid w:val="2BE461E2"/>
    <w:rsid w:val="2C8F2AD6"/>
    <w:rsid w:val="2E917DF4"/>
    <w:rsid w:val="30B24CB9"/>
    <w:rsid w:val="31682C84"/>
    <w:rsid w:val="31955D1E"/>
    <w:rsid w:val="32186458"/>
    <w:rsid w:val="36851BE2"/>
    <w:rsid w:val="38561A88"/>
    <w:rsid w:val="39C80763"/>
    <w:rsid w:val="3F732F1F"/>
    <w:rsid w:val="40C84127"/>
    <w:rsid w:val="417967E7"/>
    <w:rsid w:val="422F6EA6"/>
    <w:rsid w:val="43A10A30"/>
    <w:rsid w:val="44B03D64"/>
    <w:rsid w:val="4703102D"/>
    <w:rsid w:val="47E0289C"/>
    <w:rsid w:val="48362D3C"/>
    <w:rsid w:val="48D367DD"/>
    <w:rsid w:val="4A3E05CE"/>
    <w:rsid w:val="4A8A66B1"/>
    <w:rsid w:val="4D2F41FE"/>
    <w:rsid w:val="4D5F3BEF"/>
    <w:rsid w:val="4DD21759"/>
    <w:rsid w:val="4EF37BD9"/>
    <w:rsid w:val="4F440434"/>
    <w:rsid w:val="4FA60AA8"/>
    <w:rsid w:val="524444C2"/>
    <w:rsid w:val="54585977"/>
    <w:rsid w:val="560721BC"/>
    <w:rsid w:val="56535361"/>
    <w:rsid w:val="5AE825BC"/>
    <w:rsid w:val="6066050B"/>
    <w:rsid w:val="62465E1A"/>
    <w:rsid w:val="64414F6E"/>
    <w:rsid w:val="6441646B"/>
    <w:rsid w:val="654A79CF"/>
    <w:rsid w:val="658904F7"/>
    <w:rsid w:val="68A90943"/>
    <w:rsid w:val="691B7F67"/>
    <w:rsid w:val="69B819E0"/>
    <w:rsid w:val="6AE545CF"/>
    <w:rsid w:val="6B122D3D"/>
    <w:rsid w:val="6B806295"/>
    <w:rsid w:val="6F814935"/>
    <w:rsid w:val="70C1148D"/>
    <w:rsid w:val="73C56A95"/>
    <w:rsid w:val="73F05BE5"/>
    <w:rsid w:val="77C35AEB"/>
    <w:rsid w:val="795A247F"/>
    <w:rsid w:val="7C06069C"/>
    <w:rsid w:val="7C0D1A2A"/>
    <w:rsid w:val="7D7F0706"/>
    <w:rsid w:val="7EF173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黑体" w:cs="Times New Roman"/>
      <w:kern w:val="2"/>
      <w:sz w:val="32"/>
      <w:lang w:val="en-US" w:eastAsia="zh-CN" w:bidi="ar-SA"/>
    </w:rPr>
  </w:style>
  <w:style w:type="paragraph" w:styleId="2">
    <w:name w:val="heading 1"/>
    <w:basedOn w:val="1"/>
    <w:next w:val="1"/>
    <w:autoRedefine/>
    <w:qFormat/>
    <w:uiPriority w:val="0"/>
    <w:pPr>
      <w:spacing w:beforeAutospacing="1" w:afterAutospacing="1"/>
      <w:jc w:val="left"/>
      <w:outlineLvl w:val="0"/>
    </w:pPr>
    <w:rPr>
      <w:rFonts w:hint="eastAsia" w:ascii="宋体" w:hAnsi="宋体" w:eastAsia="宋体"/>
      <w:b/>
      <w:bCs/>
      <w:kern w:val="44"/>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table of authorities"/>
    <w:basedOn w:val="1"/>
    <w:next w:val="1"/>
    <w:autoRedefine/>
    <w:semiHidden/>
    <w:qFormat/>
    <w:uiPriority w:val="0"/>
    <w:pPr>
      <w:ind w:left="420" w:leftChars="200"/>
    </w:pPr>
    <w:rPr>
      <w:rFonts w:ascii="Calibri" w:hAnsi="Calibri" w:eastAsia="宋体"/>
      <w:sz w:val="21"/>
      <w:szCs w:val="22"/>
    </w:rPr>
  </w:style>
  <w:style w:type="paragraph" w:styleId="4">
    <w:name w:val="Normal Indent"/>
    <w:basedOn w:val="1"/>
    <w:autoRedefine/>
    <w:qFormat/>
    <w:uiPriority w:val="0"/>
    <w:pPr>
      <w:ind w:firstLine="420"/>
    </w:pPr>
    <w:rPr>
      <w:rFonts w:ascii="Calibri" w:hAnsi="Calibri" w:eastAsia="宋体"/>
      <w:szCs w:val="24"/>
    </w:rPr>
  </w:style>
  <w:style w:type="paragraph" w:styleId="5">
    <w:name w:val="Body Text"/>
    <w:basedOn w:val="1"/>
    <w:next w:val="1"/>
    <w:autoRedefine/>
    <w:qFormat/>
    <w:uiPriority w:val="99"/>
    <w:pPr>
      <w:spacing w:after="120"/>
    </w:pPr>
  </w:style>
  <w:style w:type="paragraph" w:styleId="6">
    <w:name w:val="footer"/>
    <w:basedOn w:val="1"/>
    <w:link w:val="15"/>
    <w:autoRedefine/>
    <w:qFormat/>
    <w:uiPriority w:val="99"/>
    <w:pPr>
      <w:tabs>
        <w:tab w:val="center" w:pos="4153"/>
        <w:tab w:val="right" w:pos="8306"/>
      </w:tabs>
      <w:snapToGrid w:val="0"/>
      <w:ind w:firstLine="90" w:firstLineChars="50"/>
      <w:jc w:val="center"/>
    </w:pPr>
    <w:rPr>
      <w:rFonts w:eastAsia="方正仿宋简体"/>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character" w:styleId="10">
    <w:name w:val="page number"/>
    <w:autoRedefine/>
    <w:qFormat/>
    <w:uiPriority w:val="0"/>
  </w:style>
  <w:style w:type="character" w:customStyle="1" w:styleId="11">
    <w:name w:val="NormalCharacter"/>
    <w:autoRedefine/>
    <w:semiHidden/>
    <w:qFormat/>
    <w:uiPriority w:val="99"/>
  </w:style>
  <w:style w:type="table" w:customStyle="1" w:styleId="12">
    <w:name w:val="Table Normal"/>
    <w:autoRedefine/>
    <w:unhideWhenUsed/>
    <w:qFormat/>
    <w:uiPriority w:val="0"/>
    <w:tblPr>
      <w:tblCellMar>
        <w:top w:w="0" w:type="dxa"/>
        <w:left w:w="0" w:type="dxa"/>
        <w:bottom w:w="0" w:type="dxa"/>
        <w:right w:w="0" w:type="dxa"/>
      </w:tblCellMar>
    </w:tblPr>
  </w:style>
  <w:style w:type="paragraph" w:customStyle="1" w:styleId="13">
    <w:name w:val="Table Text"/>
    <w:basedOn w:val="1"/>
    <w:autoRedefine/>
    <w:semiHidden/>
    <w:qFormat/>
    <w:uiPriority w:val="0"/>
    <w:rPr>
      <w:rFonts w:ascii="宋体" w:hAnsi="宋体" w:eastAsia="宋体" w:cs="宋体"/>
      <w:sz w:val="24"/>
      <w:szCs w:val="24"/>
      <w:lang w:eastAsia="en-US"/>
    </w:rPr>
  </w:style>
  <w:style w:type="character" w:customStyle="1" w:styleId="14">
    <w:name w:val="页眉 Char"/>
    <w:basedOn w:val="9"/>
    <w:link w:val="7"/>
    <w:qFormat/>
    <w:uiPriority w:val="0"/>
    <w:rPr>
      <w:rFonts w:ascii="Times New Roman" w:hAnsi="Times New Roman" w:eastAsia="黑体" w:cs="Times New Roman"/>
      <w:kern w:val="2"/>
      <w:sz w:val="18"/>
      <w:szCs w:val="18"/>
    </w:rPr>
  </w:style>
  <w:style w:type="character" w:customStyle="1" w:styleId="15">
    <w:name w:val="页脚 Char"/>
    <w:basedOn w:val="9"/>
    <w:link w:val="6"/>
    <w:qFormat/>
    <w:uiPriority w:val="99"/>
    <w:rPr>
      <w:rFonts w:ascii="Times New Roman" w:hAnsi="Times New Roman" w:eastAsia="方正仿宋简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textRotate="1"/>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7198</Words>
  <Characters>7273</Characters>
  <Lines>54</Lines>
  <Paragraphs>15</Paragraphs>
  <TotalTime>1</TotalTime>
  <ScaleCrop>false</ScaleCrop>
  <LinksUpToDate>false</LinksUpToDate>
  <CharactersWithSpaces>7370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2024-03-14T07:35:00Z</dcterms:created>
  <dc:creator>shequfuzhongxin2</dc:creator>
  <cp:lastModifiedBy>。。</cp:lastModifiedBy>
  <dcterms:modified xsi:type="dcterms:W3CDTF">2024-05-23T02:27:43Z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A7220117691C4C68A05A5C568BC27FB5_13</vt:lpwstr>
  </property>
</Properties>
</file>