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7F69B">
      <w:pPr>
        <w:pStyle w:val="2"/>
        <w:rPr>
          <w:rFonts w:hint="default"/>
        </w:rPr>
      </w:pPr>
      <w:bookmarkStart w:id="0" w:name="_Toc18230"/>
      <w:bookmarkStart w:id="1" w:name="_Toc740257085"/>
      <w:bookmarkStart w:id="2" w:name="_Toc23794"/>
      <w:bookmarkStart w:id="3" w:name="_Toc1249"/>
      <w:bookmarkStart w:id="4" w:name="_Toc27953"/>
      <w:bookmarkStart w:id="378" w:name="_GoBack"/>
      <w:bookmarkEnd w:id="378"/>
    </w:p>
    <w:p w14:paraId="085429B2">
      <w:pPr>
        <w:keepNext w:val="0"/>
        <w:keepLines w:val="0"/>
        <w:pageBreakBefore w:val="0"/>
        <w:wordWrap/>
        <w:overflowPunct/>
        <w:topLinePunct w:val="0"/>
        <w:bidi w:val="0"/>
        <w:spacing w:line="600" w:lineRule="exact"/>
        <w:ind w:left="0" w:leftChars="0" w:right="0"/>
        <w:jc w:val="center"/>
        <w:outlineLvl w:val="9"/>
        <w:rPr>
          <w:rFonts w:hint="default" w:ascii="Times New Roman" w:hAnsi="Times New Roman" w:eastAsia="仿宋_GB2312" w:cs="Times New Roman"/>
          <w:b w:val="0"/>
          <w:bCs w:val="0"/>
          <w:color w:val="000000" w:themeColor="text1"/>
          <w:spacing w:val="45"/>
          <w:sz w:val="32"/>
          <w:szCs w:val="32"/>
          <w14:textFill>
            <w14:solidFill>
              <w14:schemeClr w14:val="tx1"/>
            </w14:solidFill>
          </w14:textFill>
        </w:rPr>
      </w:pPr>
    </w:p>
    <w:p w14:paraId="5BEA887B">
      <w:pPr>
        <w:keepNext w:val="0"/>
        <w:keepLines w:val="0"/>
        <w:pageBreakBefore w:val="0"/>
        <w:wordWrap/>
        <w:overflowPunct/>
        <w:topLinePunct w:val="0"/>
        <w:bidi w:val="0"/>
        <w:spacing w:line="600" w:lineRule="exact"/>
        <w:ind w:left="0" w:leftChars="0" w:right="0"/>
        <w:jc w:val="center"/>
        <w:outlineLvl w:val="9"/>
        <w:rPr>
          <w:rFonts w:hint="default" w:ascii="Times New Roman" w:hAnsi="Times New Roman" w:eastAsia="仿宋_GB2312" w:cs="Times New Roman"/>
          <w:b w:val="0"/>
          <w:bCs w:val="0"/>
          <w:color w:val="000000" w:themeColor="text1"/>
          <w:spacing w:val="45"/>
          <w:sz w:val="32"/>
          <w:szCs w:val="32"/>
          <w14:textFill>
            <w14:solidFill>
              <w14:schemeClr w14:val="tx1"/>
            </w14:solidFill>
          </w14:textFill>
        </w:rPr>
      </w:pPr>
    </w:p>
    <w:p w14:paraId="4FC7630B">
      <w:pPr>
        <w:keepNext w:val="0"/>
        <w:keepLines w:val="0"/>
        <w:pageBreakBefore w:val="0"/>
        <w:wordWrap/>
        <w:overflowPunct/>
        <w:topLinePunct w:val="0"/>
        <w:bidi w:val="0"/>
        <w:spacing w:line="600" w:lineRule="exact"/>
        <w:ind w:left="0" w:leftChars="0" w:right="0"/>
        <w:jc w:val="both"/>
        <w:outlineLvl w:val="9"/>
        <w:rPr>
          <w:rFonts w:hint="default" w:ascii="Times New Roman" w:hAnsi="Times New Roman" w:eastAsia="方正小标宋简体" w:cs="Times New Roman"/>
          <w:b w:val="0"/>
          <w:bCs w:val="0"/>
          <w:color w:val="000000" w:themeColor="text1"/>
          <w:spacing w:val="45"/>
          <w:sz w:val="44"/>
          <w:szCs w:val="44"/>
          <w14:textFill>
            <w14:solidFill>
              <w14:schemeClr w14:val="tx1"/>
            </w14:solidFill>
          </w14:textFill>
        </w:rPr>
      </w:pPr>
    </w:p>
    <w:p w14:paraId="1FDC8434">
      <w:pPr>
        <w:keepNext w:val="0"/>
        <w:keepLines w:val="0"/>
        <w:pageBreakBefore w:val="0"/>
        <w:wordWrap/>
        <w:overflowPunct/>
        <w:topLinePunct w:val="0"/>
        <w:bidi w:val="0"/>
        <w:spacing w:line="600" w:lineRule="exact"/>
        <w:ind w:left="0" w:leftChars="0" w:right="0"/>
        <w:jc w:val="center"/>
        <w:outlineLvl w:val="9"/>
        <w:rPr>
          <w:rFonts w:hint="default" w:ascii="Times New Roman" w:hAnsi="Times New Roman" w:eastAsia="方正小标宋简体" w:cs="Times New Roman"/>
          <w:b w:val="0"/>
          <w:bCs w:val="0"/>
          <w:color w:val="000000" w:themeColor="text1"/>
          <w:spacing w:val="45"/>
          <w:sz w:val="44"/>
          <w:szCs w:val="44"/>
          <w14:textFill>
            <w14:solidFill>
              <w14:schemeClr w14:val="tx1"/>
            </w14:solidFill>
          </w14:textFill>
        </w:rPr>
      </w:pPr>
    </w:p>
    <w:p w14:paraId="40200188">
      <w:pPr>
        <w:keepNext w:val="0"/>
        <w:keepLines w:val="0"/>
        <w:pageBreakBefore w:val="0"/>
        <w:wordWrap/>
        <w:overflowPunct/>
        <w:topLinePunct w:val="0"/>
        <w:bidi w:val="0"/>
        <w:spacing w:line="600" w:lineRule="exact"/>
        <w:ind w:left="0" w:leftChars="0" w:right="0"/>
        <w:jc w:val="center"/>
        <w:outlineLvl w:val="0"/>
        <w:rPr>
          <w:rFonts w:hint="default" w:ascii="Times New Roman" w:hAnsi="Times New Roman" w:eastAsia="方正小标宋简体" w:cs="Times New Roman"/>
          <w:b w:val="0"/>
          <w:bCs w:val="0"/>
          <w:color w:val="000000" w:themeColor="text1"/>
          <w:spacing w:val="45"/>
          <w:sz w:val="44"/>
          <w:szCs w:val="44"/>
          <w14:textFill>
            <w14:solidFill>
              <w14:schemeClr w14:val="tx1"/>
            </w14:solidFill>
          </w14:textFill>
        </w:rPr>
      </w:pPr>
      <w:bookmarkStart w:id="5" w:name="_Toc795718176"/>
      <w:r>
        <w:rPr>
          <w:rFonts w:hint="default" w:ascii="Times New Roman" w:hAnsi="Times New Roman" w:eastAsia="方正小标宋简体" w:cs="Times New Roman"/>
          <w:b w:val="0"/>
          <w:bCs w:val="0"/>
          <w:color w:val="000000" w:themeColor="text1"/>
          <w:spacing w:val="45"/>
          <w:sz w:val="44"/>
          <w:szCs w:val="44"/>
          <w14:textFill>
            <w14:solidFill>
              <w14:schemeClr w14:val="tx1"/>
            </w14:solidFill>
          </w14:textFill>
        </w:rPr>
        <w:t>西安</w:t>
      </w:r>
      <w:r>
        <w:rPr>
          <w:rFonts w:hint="default" w:ascii="Times New Roman" w:hAnsi="Times New Roman" w:eastAsia="方正小标宋简体" w:cs="Times New Roman"/>
          <w:b w:val="0"/>
          <w:bCs w:val="0"/>
          <w:color w:val="000000" w:themeColor="text1"/>
          <w:spacing w:val="45"/>
          <w:sz w:val="44"/>
          <w:szCs w:val="44"/>
          <w:lang w:val="en-US" w:eastAsia="zh-CN"/>
          <w14:textFill>
            <w14:solidFill>
              <w14:schemeClr w14:val="tx1"/>
            </w14:solidFill>
          </w14:textFill>
        </w:rPr>
        <w:t>市</w:t>
      </w:r>
      <w:r>
        <w:rPr>
          <w:rFonts w:hint="default" w:ascii="Times New Roman" w:hAnsi="Times New Roman" w:eastAsia="方正小标宋简体" w:cs="Times New Roman"/>
          <w:b w:val="0"/>
          <w:bCs w:val="0"/>
          <w:color w:val="000000" w:themeColor="text1"/>
          <w:spacing w:val="45"/>
          <w:sz w:val="44"/>
          <w:szCs w:val="44"/>
          <w:lang w:eastAsia="zh-CN"/>
          <w14:textFill>
            <w14:solidFill>
              <w14:schemeClr w14:val="tx1"/>
            </w14:solidFill>
          </w14:textFill>
        </w:rPr>
        <w:t>临潼区</w:t>
      </w:r>
      <w:r>
        <w:rPr>
          <w:rFonts w:hint="default" w:ascii="Times New Roman" w:hAnsi="Times New Roman" w:eastAsia="方正小标宋简体" w:cs="Times New Roman"/>
          <w:b w:val="0"/>
          <w:bCs w:val="0"/>
          <w:color w:val="000000" w:themeColor="text1"/>
          <w:spacing w:val="45"/>
          <w:sz w:val="44"/>
          <w:szCs w:val="44"/>
          <w14:textFill>
            <w14:solidFill>
              <w14:schemeClr w14:val="tx1"/>
            </w14:solidFill>
          </w14:textFill>
        </w:rPr>
        <w:t>突发重大动物疫情</w:t>
      </w:r>
      <w:bookmarkEnd w:id="0"/>
      <w:bookmarkEnd w:id="1"/>
      <w:bookmarkEnd w:id="2"/>
      <w:bookmarkEnd w:id="5"/>
    </w:p>
    <w:p w14:paraId="4DA4C561">
      <w:pPr>
        <w:keepNext w:val="0"/>
        <w:keepLines w:val="0"/>
        <w:pageBreakBefore w:val="0"/>
        <w:wordWrap/>
        <w:overflowPunct/>
        <w:topLinePunct w:val="0"/>
        <w:bidi w:val="0"/>
        <w:spacing w:line="600" w:lineRule="exact"/>
        <w:ind w:left="0" w:leftChars="0" w:right="0"/>
        <w:jc w:val="center"/>
        <w:outlineLvl w:val="0"/>
        <w:rPr>
          <w:rFonts w:hint="default" w:ascii="Times New Roman" w:hAnsi="Times New Roman" w:eastAsia="方正小标宋简体" w:cs="Times New Roman"/>
          <w:b w:val="0"/>
          <w:bCs w:val="0"/>
          <w:color w:val="000000" w:themeColor="text1"/>
          <w:spacing w:val="45"/>
          <w:sz w:val="44"/>
          <w:szCs w:val="44"/>
          <w14:textFill>
            <w14:solidFill>
              <w14:schemeClr w14:val="tx1"/>
            </w14:solidFill>
          </w14:textFill>
        </w:rPr>
      </w:pPr>
      <w:bookmarkStart w:id="6" w:name="_Toc122275289"/>
      <w:bookmarkStart w:id="7" w:name="_Toc893414529"/>
      <w:bookmarkStart w:id="8" w:name="_Toc14519"/>
      <w:bookmarkStart w:id="9" w:name="_Toc26638"/>
      <w:r>
        <w:rPr>
          <w:rFonts w:hint="default" w:ascii="Times New Roman" w:hAnsi="Times New Roman" w:eastAsia="方正小标宋简体" w:cs="Times New Roman"/>
          <w:b w:val="0"/>
          <w:bCs w:val="0"/>
          <w:color w:val="000000" w:themeColor="text1"/>
          <w:spacing w:val="45"/>
          <w:sz w:val="44"/>
          <w:szCs w:val="44"/>
          <w14:textFill>
            <w14:solidFill>
              <w14:schemeClr w14:val="tx1"/>
            </w14:solidFill>
          </w14:textFill>
        </w:rPr>
        <w:t>应急预案</w:t>
      </w:r>
      <w:bookmarkEnd w:id="3"/>
      <w:bookmarkEnd w:id="4"/>
      <w:bookmarkEnd w:id="6"/>
      <w:bookmarkEnd w:id="7"/>
      <w:bookmarkEnd w:id="8"/>
      <w:bookmarkEnd w:id="9"/>
    </w:p>
    <w:p w14:paraId="7367A85C">
      <w:pPr>
        <w:keepNext w:val="0"/>
        <w:keepLines w:val="0"/>
        <w:pageBreakBefore w:val="0"/>
        <w:wordWrap/>
        <w:overflowPunct/>
        <w:topLinePunct w:val="0"/>
        <w:bidi w:val="0"/>
        <w:spacing w:line="600" w:lineRule="exact"/>
        <w:ind w:left="0" w:leftChars="0" w:right="0"/>
        <w:rPr>
          <w:rFonts w:hint="default" w:ascii="Times New Roman" w:hAnsi="Times New Roman" w:cs="Times New Roman"/>
          <w:b w:val="0"/>
          <w:bCs w:val="0"/>
          <w:color w:val="000000" w:themeColor="text1"/>
          <w:sz w:val="21"/>
          <w14:textFill>
            <w14:solidFill>
              <w14:schemeClr w14:val="tx1"/>
            </w14:solidFill>
          </w14:textFill>
        </w:rPr>
      </w:pPr>
    </w:p>
    <w:p w14:paraId="2DB45F64">
      <w:pPr>
        <w:pStyle w:val="2"/>
        <w:keepNext w:val="0"/>
        <w:keepLines w:val="0"/>
        <w:pageBreakBefore w:val="0"/>
        <w:wordWrap/>
        <w:overflowPunct/>
        <w:topLinePunct w:val="0"/>
        <w:bidi w:val="0"/>
        <w:spacing w:line="600" w:lineRule="exact"/>
        <w:ind w:left="0" w:leftChars="0" w:right="0"/>
        <w:rPr>
          <w:rFonts w:hint="default" w:ascii="Times New Roman" w:hAnsi="Times New Roman" w:cs="Times New Roman"/>
          <w:b w:val="0"/>
          <w:bCs w:val="0"/>
          <w:color w:val="000000" w:themeColor="text1"/>
          <w:sz w:val="21"/>
          <w14:textFill>
            <w14:solidFill>
              <w14:schemeClr w14:val="tx1"/>
            </w14:solidFill>
          </w14:textFill>
        </w:rPr>
      </w:pPr>
    </w:p>
    <w:p w14:paraId="51B362CC">
      <w:pPr>
        <w:pStyle w:val="2"/>
        <w:keepNext w:val="0"/>
        <w:keepLines w:val="0"/>
        <w:pageBreakBefore w:val="0"/>
        <w:wordWrap/>
        <w:overflowPunct/>
        <w:topLinePunct w:val="0"/>
        <w:bidi w:val="0"/>
        <w:spacing w:line="600" w:lineRule="exact"/>
        <w:ind w:left="0" w:leftChars="0" w:right="0"/>
        <w:rPr>
          <w:rFonts w:hint="default" w:ascii="Times New Roman" w:hAnsi="Times New Roman" w:cs="Times New Roman"/>
          <w:b w:val="0"/>
          <w:bCs w:val="0"/>
          <w:color w:val="000000" w:themeColor="text1"/>
          <w:sz w:val="21"/>
          <w14:textFill>
            <w14:solidFill>
              <w14:schemeClr w14:val="tx1"/>
            </w14:solidFill>
          </w14:textFill>
        </w:rPr>
      </w:pPr>
    </w:p>
    <w:p w14:paraId="5320086D">
      <w:pPr>
        <w:pStyle w:val="2"/>
        <w:keepNext w:val="0"/>
        <w:keepLines w:val="0"/>
        <w:pageBreakBefore w:val="0"/>
        <w:wordWrap/>
        <w:overflowPunct/>
        <w:topLinePunct w:val="0"/>
        <w:bidi w:val="0"/>
        <w:spacing w:line="600" w:lineRule="exact"/>
        <w:ind w:left="0" w:leftChars="0" w:right="0"/>
        <w:rPr>
          <w:rFonts w:hint="default" w:ascii="Times New Roman" w:hAnsi="Times New Roman" w:cs="Times New Roman"/>
          <w:b w:val="0"/>
          <w:bCs w:val="0"/>
          <w:color w:val="000000" w:themeColor="text1"/>
          <w:sz w:val="21"/>
          <w14:textFill>
            <w14:solidFill>
              <w14:schemeClr w14:val="tx1"/>
            </w14:solidFill>
          </w14:textFill>
        </w:rPr>
      </w:pPr>
    </w:p>
    <w:p w14:paraId="3D4F4CF8">
      <w:pPr>
        <w:pStyle w:val="2"/>
        <w:keepNext w:val="0"/>
        <w:keepLines w:val="0"/>
        <w:pageBreakBefore w:val="0"/>
        <w:wordWrap/>
        <w:overflowPunct/>
        <w:topLinePunct w:val="0"/>
        <w:bidi w:val="0"/>
        <w:spacing w:line="600" w:lineRule="exact"/>
        <w:ind w:left="0" w:leftChars="0" w:right="0"/>
        <w:rPr>
          <w:rFonts w:hint="default" w:ascii="Times New Roman" w:hAnsi="Times New Roman" w:cs="Times New Roman"/>
          <w:b w:val="0"/>
          <w:bCs w:val="0"/>
          <w:color w:val="000000" w:themeColor="text1"/>
          <w:sz w:val="21"/>
          <w14:textFill>
            <w14:solidFill>
              <w14:schemeClr w14:val="tx1"/>
            </w14:solidFill>
          </w14:textFill>
        </w:rPr>
        <w:sectPr>
          <w:footerReference r:id="rId5" w:type="default"/>
          <w:pgSz w:w="11860" w:h="16960"/>
          <w:pgMar w:top="2098" w:right="1474" w:bottom="1984" w:left="1587" w:header="0" w:footer="1304" w:gutter="0"/>
          <w:pgNumType w:fmt="decimal"/>
          <w:cols w:space="0" w:num="1"/>
          <w:rtlGutter w:val="0"/>
          <w:docGrid w:linePitch="0" w:charSpace="0"/>
        </w:sectPr>
      </w:pPr>
    </w:p>
    <w:sdt>
      <w:sdtPr>
        <w:rPr>
          <w:rFonts w:hint="default" w:ascii="Times New Roman" w:hAnsi="Times New Roman" w:eastAsia="宋体" w:cs="Times New Roman"/>
          <w:snapToGrid w:val="0"/>
          <w:color w:val="000000"/>
          <w:kern w:val="0"/>
          <w:sz w:val="21"/>
          <w:szCs w:val="21"/>
        </w:rPr>
        <w:id w:val="164326242"/>
        <w15:color w:val="DBDBDB"/>
        <w:docPartObj>
          <w:docPartGallery w:val="Table of Contents"/>
          <w:docPartUnique/>
        </w:docPartObj>
      </w:sdtPr>
      <w:sdtEndPr>
        <w:rPr>
          <w:rFonts w:hint="default" w:ascii="Times New Roman" w:hAnsi="Times New Roman" w:eastAsia="宋体" w:cs="Times New Roman"/>
          <w:b/>
          <w:snapToGrid w:val="0"/>
          <w:color w:val="000000"/>
          <w:kern w:val="0"/>
          <w:sz w:val="21"/>
          <w:szCs w:val="21"/>
        </w:rPr>
      </w:sdtEndPr>
      <w:sdtContent>
        <w:p w14:paraId="0216C516">
          <w:pPr>
            <w:spacing w:before="0" w:beforeLines="0" w:after="0" w:afterLines="0" w:line="240" w:lineRule="auto"/>
            <w:ind w:left="0" w:leftChars="0" w:right="0" w:rightChars="0" w:firstLine="0" w:firstLineChars="0"/>
            <w:jc w:val="center"/>
            <w:rPr>
              <w:rFonts w:hint="default" w:ascii="Times New Roman" w:hAnsi="Times New Roman" w:cs="Times New Roman"/>
              <w:sz w:val="32"/>
              <w:szCs w:val="32"/>
            </w:rPr>
          </w:pPr>
          <w:bookmarkStart w:id="10" w:name="_Toc2736"/>
          <w:bookmarkStart w:id="11" w:name="_Toc32695"/>
          <w:bookmarkStart w:id="12" w:name="_Toc29054"/>
          <w:bookmarkStart w:id="13" w:name="_Toc5593"/>
          <w:bookmarkStart w:id="14" w:name="_Toc18501"/>
          <w:bookmarkStart w:id="15" w:name="_Toc31901"/>
          <w:r>
            <w:rPr>
              <w:rFonts w:hint="eastAsia" w:ascii="方正小标宋简体" w:hAnsi="方正小标宋简体" w:eastAsia="方正小标宋简体" w:cs="方正小标宋简体"/>
              <w:sz w:val="32"/>
              <w:szCs w:val="32"/>
            </w:rPr>
            <w:t>目录</w:t>
          </w:r>
        </w:p>
        <w:p w14:paraId="76480C15">
          <w:pPr>
            <w:pStyle w:val="9"/>
            <w:tabs>
              <w:tab w:val="right" w:leader="dot" w:pos="8829"/>
            </w:tabs>
            <w:rPr>
              <w:rFonts w:hint="default" w:ascii="Times New Roman" w:hAnsi="Times New Roman" w:cs="Times New Roman"/>
              <w:b/>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TOC \o "1-2" \h \u </w:instrText>
          </w:r>
          <w:r>
            <w:rPr>
              <w:rFonts w:hint="default" w:ascii="Times New Roman" w:hAnsi="Times New Roman" w:cs="Times New Roman"/>
              <w:sz w:val="32"/>
              <w:szCs w:val="32"/>
            </w:rPr>
            <w:fldChar w:fldCharType="separate"/>
          </w:r>
        </w:p>
        <w:p w14:paraId="7FCE7B2F">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_Toc569526673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
              <w:sz w:val="32"/>
              <w:szCs w:val="32"/>
            </w:rPr>
            <w:t>1总则</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_Toc569526673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023CC256">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_Toc1544353624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4"/>
              <w:kern w:val="0"/>
              <w:sz w:val="32"/>
              <w:szCs w:val="32"/>
              <w:lang w:val="en-US" w:eastAsia="zh-CN"/>
            </w:rPr>
            <w:t>1.1编制目的</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_Toc1544353624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524433EA">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_Toc574776842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pacing w:val="1"/>
              <w:sz w:val="32"/>
              <w:szCs w:val="32"/>
              <w:lang w:val="en-US" w:eastAsia="zh-CN"/>
            </w:rPr>
            <w:t>1.2编制依据</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_Toc574776842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31FEA6FF">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_Toc1642953970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pacing w:val="1"/>
              <w:sz w:val="32"/>
              <w:szCs w:val="32"/>
              <w:lang w:val="en-US" w:eastAsia="zh-CN"/>
            </w:rPr>
            <w:t>1.3工作原则</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_Toc1642953970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431A26E0">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_Toc654866874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pacing w:val="1"/>
              <w:sz w:val="32"/>
              <w:szCs w:val="32"/>
              <w:lang w:val="en-US" w:eastAsia="zh-CN"/>
            </w:rPr>
            <w:t>1.4适用范围</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_Toc654866874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6</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48007F59">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_Toc2030109650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
              <w:sz w:val="32"/>
              <w:szCs w:val="32"/>
            </w:rPr>
            <w:t>2应急组织体系及职责</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_Toc2030109650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7</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4AFF5542">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_Toc1443634479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2.1应急指挥机构</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_Toc1443634479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7</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34B9C1F7">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_Toc1450182073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2.2应急处置机构</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_Toc1450182073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12</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C4D3BF0">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_Toc1620369849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2.3现场指挥机构</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_Toc1620369849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13</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304212BC">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_Toc611794611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
              <w:sz w:val="32"/>
              <w:szCs w:val="32"/>
            </w:rPr>
            <w:t>3动物疫情报告和确认</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_Toc611794611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66B9C9B3">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_Toc80189322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3.1动物疫情报告</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_Toc80189322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042C50A5">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_Toc1340181902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3.2动物疫情确认</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_Toc1340181902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17</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1E4804B9">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_Toc1286615615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3.3前期处置措施</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_Toc1286615615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18</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442DD7AE">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_Toc2108798000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3.4紧急流行病学调查</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_Toc2108798000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18</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4025E5DC">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_Toc81591358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3.5紧急监测</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_Toc81591358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19</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4C2B16D6">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_Toc2014489388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3.6风险评估</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_Toc2014489388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20</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3DBF74F2">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_Toc1045823775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
              <w:sz w:val="32"/>
              <w:szCs w:val="32"/>
            </w:rPr>
            <w:t>4动物疫情应急响应</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_Toc1045823775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20</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61F94512">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_Toc440615584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4.1突发重大动物疫情分级</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_Toc440615584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20</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32BB6088">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_Toc1044881975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4.2突发重大动物疫情分级响应</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_Toc1044881975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23</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5EEB34B2">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_Toc1597298351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4.3毗邻区县发生重大动物疫情的应急响应</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_Toc1597298351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31</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7DA09D24">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_Toc1556529390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4.4应急处置人员的安全防护</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_Toc1556529390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31</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3718E39">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_Toc1568949454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4.5突发重大动物疫情应急响应的终止</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_Toc1568949454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32</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6213EF79">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_Toc1529058731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4.6响应级别调整</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_Toc1529058731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33</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9E8E422">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_Toc680982845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
              <w:sz w:val="32"/>
              <w:szCs w:val="32"/>
            </w:rPr>
            <w:t>5重大动物疫情预警</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_Toc680982845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33</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D545D8D">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_Toc1656150459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5.1特别严重</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一级</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预警</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_Toc1656150459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33</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07D05886">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_Toc703326477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5.2严重</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二级</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预警</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_Toc703326477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34</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1ECDFD5A">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_Toc610412088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5.3较大</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三级</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预警</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_Toc610412088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34</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3BF8618D">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_Toc1504348081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5.4一般</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四级</w:t>
          </w:r>
          <w:r>
            <w:rPr>
              <w:rFonts w:hint="eastAsia" w:eastAsia="楷体" w:cs="Times New Roman"/>
              <w:b w:val="0"/>
              <w:bCs/>
              <w:snapToGrid w:val="0"/>
              <w:spacing w:val="1"/>
              <w:kern w:val="0"/>
              <w:sz w:val="32"/>
              <w:szCs w:val="32"/>
              <w:lang w:val="en-US" w:eastAsia="zh-CN"/>
            </w:rPr>
            <w:t>）</w:t>
          </w:r>
          <w:r>
            <w:rPr>
              <w:rFonts w:hint="default" w:ascii="Times New Roman" w:hAnsi="Times New Roman" w:eastAsia="楷体" w:cs="Times New Roman"/>
              <w:b w:val="0"/>
              <w:bCs/>
              <w:snapToGrid w:val="0"/>
              <w:spacing w:val="1"/>
              <w:kern w:val="0"/>
              <w:sz w:val="32"/>
              <w:szCs w:val="32"/>
              <w:lang w:val="en-US" w:eastAsia="zh-CN"/>
            </w:rPr>
            <w:t>预警</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_Toc1504348081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34</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32569F6">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_Toc1713025881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42"/>
              <w:sz w:val="32"/>
              <w:szCs w:val="32"/>
            </w:rPr>
            <w:t>6善后处理</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_Toc1713025881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62482022">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_Toc1406130265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6.1后期评估</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_Toc1406130265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7B1E9610">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_Toc250278962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6.2监督检查</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_Toc250278962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04DC52EC">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_Toc135068906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6.3表彰奖励</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_Toc135068906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1DA92A89">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_Toc803000241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6.4责任追究</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_Toc803000241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35</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C09D8A5">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_Toc825055804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6.5灾害补偿</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_Toc825055804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36</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19053054">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_Toc1778022876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6.6抚恤和补助</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_Toc1778022876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36</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66A411F6">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_Toc1457867115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6.7恢复生产</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_Toc1457867115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36</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3A504E88">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_Toc707681806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
              <w:sz w:val="32"/>
              <w:szCs w:val="32"/>
            </w:rPr>
            <w:t>7应急处置保障</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_Toc707681806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36</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1434E745">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_Toc1074173707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7.1应急资源与装备保障</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_Toc1074173707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37</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6D47217E">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_Toc760565540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7.2技术储备与保障</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_Toc760565540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38</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517300F6">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_Toc180568007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7.3培训和演习</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_Toc180568007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39</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C29B0B1">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_Toc1685968319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7.4社会公众的宣传教育</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_Toc1685968319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39</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19602C17">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_Toc840754862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5"/>
              <w:sz w:val="32"/>
              <w:szCs w:val="32"/>
              <w:lang w:val="en-US" w:eastAsia="zh-CN"/>
            </w:rPr>
            <w:t>8各类具体工作预案的制定</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_Toc840754862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40</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05856BF2">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_Toc1520749910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15"/>
              <w:sz w:val="32"/>
              <w:szCs w:val="32"/>
              <w:lang w:val="en-US" w:eastAsia="zh-CN"/>
            </w:rPr>
            <w:t>9</w:t>
          </w:r>
          <w:r>
            <w:rPr>
              <w:rFonts w:hint="default" w:ascii="Times New Roman" w:hAnsi="Times New Roman" w:eastAsia="黑体" w:cs="Times New Roman"/>
              <w:b w:val="0"/>
              <w:bCs/>
              <w:spacing w:val="-15"/>
              <w:sz w:val="32"/>
              <w:szCs w:val="32"/>
            </w:rPr>
            <w:t>附</w:t>
          </w:r>
          <w:r>
            <w:rPr>
              <w:rFonts w:hint="default" w:ascii="Times New Roman" w:hAnsi="Times New Roman" w:eastAsia="黑体" w:cs="Times New Roman"/>
              <w:b w:val="0"/>
              <w:bCs/>
              <w:spacing w:val="-39"/>
              <w:sz w:val="32"/>
              <w:szCs w:val="32"/>
              <w:lang w:val="en-US" w:eastAsia="zh-CN"/>
            </w:rPr>
            <w:t>则</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_Toc1520749910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40</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4DC62204">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_Toc825100286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9.1名词术语</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_Toc825100286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40</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5374899C">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_Toc802069215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9.2预案管理与修订</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_Toc802069215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40</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52A393AA">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_Toc1602341268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9.3预案解释部门</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_Toc1602341268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41</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2355F6CA">
          <w:pPr>
            <w:pStyle w:val="10"/>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_Toc692106026 </w:instrText>
          </w:r>
          <w:r>
            <w:rPr>
              <w:rFonts w:hint="default" w:ascii="Times New Roman" w:hAnsi="Times New Roman" w:cs="Times New Roman"/>
              <w:b w:val="0"/>
              <w:bCs/>
              <w:sz w:val="32"/>
              <w:szCs w:val="32"/>
            </w:rPr>
            <w:fldChar w:fldCharType="separate"/>
          </w:r>
          <w:r>
            <w:rPr>
              <w:rFonts w:hint="default" w:ascii="Times New Roman" w:hAnsi="Times New Roman" w:eastAsia="楷体" w:cs="Times New Roman"/>
              <w:b w:val="0"/>
              <w:bCs/>
              <w:snapToGrid w:val="0"/>
              <w:spacing w:val="1"/>
              <w:kern w:val="0"/>
              <w:sz w:val="32"/>
              <w:szCs w:val="32"/>
              <w:lang w:val="en-US" w:eastAsia="zh-CN"/>
            </w:rPr>
            <w:t>9.4预案实施时间</w:t>
          </w:r>
          <w:r>
            <w:rPr>
              <w:rFonts w:hint="default" w:ascii="Times New Roman" w:hAnsi="Times New Roman" w:cs="Times New Roman"/>
              <w:b w:val="0"/>
              <w:bCs/>
              <w:sz w:val="32"/>
              <w:szCs w:val="32"/>
            </w:rPr>
            <w:tab/>
          </w: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PAGEREF _Toc692106026 \h </w:instrText>
          </w:r>
          <w:r>
            <w:rPr>
              <w:rFonts w:hint="default" w:ascii="Times New Roman" w:hAnsi="Times New Roman" w:cs="Times New Roman"/>
              <w:b w:val="0"/>
              <w:bCs/>
              <w:sz w:val="32"/>
              <w:szCs w:val="32"/>
            </w:rPr>
            <w:fldChar w:fldCharType="separate"/>
          </w:r>
          <w:r>
            <w:rPr>
              <w:rFonts w:hint="default" w:ascii="Times New Roman" w:hAnsi="Times New Roman" w:cs="Times New Roman"/>
              <w:b w:val="0"/>
              <w:bCs/>
              <w:sz w:val="32"/>
              <w:szCs w:val="32"/>
            </w:rPr>
            <w:t>41</w:t>
          </w:r>
          <w:r>
            <w:rPr>
              <w:rFonts w:hint="default" w:ascii="Times New Roman" w:hAnsi="Times New Roman" w:cs="Times New Roman"/>
              <w:b w:val="0"/>
              <w:bCs/>
              <w:sz w:val="32"/>
              <w:szCs w:val="32"/>
            </w:rPr>
            <w:fldChar w:fldCharType="end"/>
          </w:r>
          <w:r>
            <w:rPr>
              <w:rFonts w:hint="default" w:ascii="Times New Roman" w:hAnsi="Times New Roman" w:cs="Times New Roman"/>
              <w:b w:val="0"/>
              <w:bCs/>
              <w:sz w:val="32"/>
              <w:szCs w:val="32"/>
            </w:rPr>
            <w:fldChar w:fldCharType="end"/>
          </w:r>
        </w:p>
        <w:p w14:paraId="54584DD4">
          <w:pPr>
            <w:pStyle w:val="9"/>
            <w:keepNext w:val="0"/>
            <w:keepLines w:val="0"/>
            <w:pageBreakBefore w:val="0"/>
            <w:widowControl/>
            <w:tabs>
              <w:tab w:val="right" w:leader="dot" w:pos="8829"/>
            </w:tabs>
            <w:kinsoku/>
            <w:wordWrap/>
            <w:overflowPunct/>
            <w:topLinePunct w:val="0"/>
            <w:autoSpaceDE/>
            <w:autoSpaceDN/>
            <w:bidi w:val="0"/>
            <w:adjustRightInd/>
            <w:snapToGrid/>
            <w:spacing w:line="500" w:lineRule="exact"/>
            <w:textAlignment w:val="auto"/>
            <w:rPr>
              <w:rFonts w:hint="default" w:ascii="Times New Roman" w:hAnsi="Times New Roman" w:cs="Times New Roman"/>
              <w:b w:val="0"/>
              <w:bCs/>
              <w:sz w:val="32"/>
              <w:szCs w:val="32"/>
            </w:rPr>
          </w:pPr>
          <w:r>
            <w:rPr>
              <w:rFonts w:hint="default" w:ascii="Times New Roman" w:hAnsi="Times New Roman" w:cs="Times New Roman"/>
              <w:b w:val="0"/>
              <w:bCs/>
              <w:sz w:val="32"/>
              <w:szCs w:val="32"/>
            </w:rPr>
            <w:fldChar w:fldCharType="begin"/>
          </w:r>
          <w:r>
            <w:rPr>
              <w:rFonts w:hint="default" w:ascii="Times New Roman" w:hAnsi="Times New Roman" w:cs="Times New Roman"/>
              <w:b w:val="0"/>
              <w:bCs/>
              <w:sz w:val="32"/>
              <w:szCs w:val="32"/>
            </w:rPr>
            <w:instrText xml:space="preserve"> HYPERLINK \l _Toc1847892990 </w:instrText>
          </w:r>
          <w:r>
            <w:rPr>
              <w:rFonts w:hint="default" w:ascii="Times New Roman" w:hAnsi="Times New Roman" w:cs="Times New Roman"/>
              <w:b w:val="0"/>
              <w:bCs/>
              <w:sz w:val="32"/>
              <w:szCs w:val="32"/>
            </w:rPr>
            <w:fldChar w:fldCharType="separate"/>
          </w:r>
          <w:r>
            <w:rPr>
              <w:rFonts w:hint="default" w:ascii="Times New Roman" w:hAnsi="Times New Roman" w:eastAsia="黑体" w:cs="Times New Roman"/>
              <w:b w:val="0"/>
              <w:bCs/>
              <w:spacing w:val="6"/>
              <w:kern w:val="2"/>
              <w:sz w:val="32"/>
              <w:szCs w:val="32"/>
              <w:lang w:val="en-US" w:eastAsia="zh-CN" w:bidi="ar-SA"/>
            </w:rPr>
            <w:t>附件:</w:t>
          </w:r>
          <w:r>
            <w:rPr>
              <w:rFonts w:hint="default" w:ascii="Times New Roman" w:hAnsi="Times New Roman" w:cs="Times New Roman"/>
              <w:b w:val="0"/>
              <w:bCs/>
              <w:sz w:val="32"/>
              <w:szCs w:val="32"/>
            </w:rPr>
            <w:fldChar w:fldCharType="end"/>
          </w:r>
          <w:r>
            <w:rPr>
              <w:rFonts w:hint="default" w:ascii="Times New Roman" w:hAnsi="Times New Roman" w:eastAsia="楷体" w:cs="Times New Roman"/>
              <w:b w:val="0"/>
              <w:bCs/>
              <w:snapToGrid w:val="0"/>
              <w:spacing w:val="1"/>
              <w:kern w:val="0"/>
              <w:sz w:val="32"/>
              <w:szCs w:val="32"/>
              <w:lang w:val="en-US" w:eastAsia="zh-CN"/>
            </w:rPr>
            <w:fldChar w:fldCharType="begin"/>
          </w:r>
          <w:r>
            <w:rPr>
              <w:rFonts w:hint="default" w:ascii="Times New Roman" w:hAnsi="Times New Roman" w:eastAsia="楷体" w:cs="Times New Roman"/>
              <w:b w:val="0"/>
              <w:bCs/>
              <w:snapToGrid w:val="0"/>
              <w:spacing w:val="1"/>
              <w:kern w:val="0"/>
              <w:sz w:val="32"/>
              <w:szCs w:val="32"/>
              <w:lang w:val="en-US" w:eastAsia="zh-CN"/>
            </w:rPr>
            <w:instrText xml:space="preserve"> HYPERLINK \l _Toc2042956852 </w:instrText>
          </w:r>
          <w:r>
            <w:rPr>
              <w:rFonts w:hint="default" w:ascii="Times New Roman" w:hAnsi="Times New Roman" w:eastAsia="楷体" w:cs="Times New Roman"/>
              <w:b w:val="0"/>
              <w:bCs/>
              <w:snapToGrid w:val="0"/>
              <w:spacing w:val="1"/>
              <w:kern w:val="0"/>
              <w:sz w:val="32"/>
              <w:szCs w:val="32"/>
              <w:lang w:val="en-US" w:eastAsia="zh-CN"/>
            </w:rPr>
            <w:fldChar w:fldCharType="separate"/>
          </w:r>
          <w:r>
            <w:rPr>
              <w:rFonts w:hint="default" w:ascii="Times New Roman" w:hAnsi="Times New Roman" w:eastAsia="楷体" w:cs="Times New Roman"/>
              <w:b w:val="0"/>
              <w:bCs/>
              <w:snapToGrid w:val="0"/>
              <w:spacing w:val="1"/>
              <w:kern w:val="0"/>
              <w:sz w:val="32"/>
              <w:szCs w:val="32"/>
              <w:lang w:val="en-US" w:eastAsia="zh-CN"/>
            </w:rPr>
            <w:t>西安市临潼区突发重大动物疫情应急工作流程图</w:t>
          </w:r>
          <w:r>
            <w:rPr>
              <w:rFonts w:hint="default" w:ascii="Times New Roman" w:hAnsi="Times New Roman" w:eastAsia="宋体" w:cs="Times New Roman"/>
              <w:b w:val="0"/>
              <w:bCs/>
              <w:sz w:val="32"/>
              <w:szCs w:val="32"/>
              <w:lang w:val="en-US" w:eastAsia="zh-CN"/>
            </w:rPr>
            <w:tab/>
          </w:r>
          <w:r>
            <w:rPr>
              <w:rFonts w:hint="default" w:ascii="Times New Roman" w:hAnsi="Times New Roman" w:eastAsia="宋体" w:cs="Times New Roman"/>
              <w:b w:val="0"/>
              <w:bCs/>
              <w:sz w:val="32"/>
              <w:szCs w:val="32"/>
              <w:lang w:val="en-US" w:eastAsia="zh-CN"/>
            </w:rPr>
            <w:fldChar w:fldCharType="begin"/>
          </w:r>
          <w:r>
            <w:rPr>
              <w:rFonts w:hint="default" w:ascii="Times New Roman" w:hAnsi="Times New Roman" w:eastAsia="宋体" w:cs="Times New Roman"/>
              <w:b w:val="0"/>
              <w:bCs/>
              <w:sz w:val="32"/>
              <w:szCs w:val="32"/>
              <w:lang w:val="en-US" w:eastAsia="zh-CN"/>
            </w:rPr>
            <w:instrText xml:space="preserve"> PAGEREF _Toc2042956852 \h </w:instrText>
          </w:r>
          <w:r>
            <w:rPr>
              <w:rFonts w:hint="default" w:ascii="Times New Roman" w:hAnsi="Times New Roman" w:eastAsia="宋体" w:cs="Times New Roman"/>
              <w:b w:val="0"/>
              <w:bCs/>
              <w:sz w:val="32"/>
              <w:szCs w:val="32"/>
              <w:lang w:val="en-US" w:eastAsia="zh-CN"/>
            </w:rPr>
            <w:fldChar w:fldCharType="separate"/>
          </w:r>
          <w:r>
            <w:rPr>
              <w:rFonts w:hint="default" w:ascii="Times New Roman" w:hAnsi="Times New Roman" w:eastAsia="宋体" w:cs="Times New Roman"/>
              <w:b w:val="0"/>
              <w:bCs/>
              <w:sz w:val="32"/>
              <w:szCs w:val="32"/>
              <w:lang w:val="en-US" w:eastAsia="zh-CN"/>
            </w:rPr>
            <w:t>42</w:t>
          </w:r>
          <w:r>
            <w:rPr>
              <w:rFonts w:hint="default" w:ascii="Times New Roman" w:hAnsi="Times New Roman" w:eastAsia="宋体" w:cs="Times New Roman"/>
              <w:b w:val="0"/>
              <w:bCs/>
              <w:sz w:val="32"/>
              <w:szCs w:val="32"/>
              <w:lang w:val="en-US" w:eastAsia="zh-CN"/>
            </w:rPr>
            <w:fldChar w:fldCharType="end"/>
          </w:r>
          <w:r>
            <w:rPr>
              <w:rFonts w:hint="default" w:ascii="Times New Roman" w:hAnsi="Times New Roman" w:eastAsia="楷体" w:cs="Times New Roman"/>
              <w:b w:val="0"/>
              <w:bCs/>
              <w:snapToGrid w:val="0"/>
              <w:spacing w:val="1"/>
              <w:kern w:val="0"/>
              <w:sz w:val="32"/>
              <w:szCs w:val="32"/>
              <w:lang w:val="en-US" w:eastAsia="zh-CN"/>
            </w:rPr>
            <w:fldChar w:fldCharType="end"/>
          </w:r>
        </w:p>
        <w:p w14:paraId="7C1FAD1E">
          <w:pPr>
            <w:pStyle w:val="9"/>
            <w:tabs>
              <w:tab w:val="right" w:leader="dot" w:pos="8829"/>
            </w:tabs>
            <w:rPr>
              <w:rFonts w:hint="default" w:ascii="Times New Roman" w:hAnsi="Times New Roman" w:cs="Times New Roman"/>
              <w:b/>
              <w:sz w:val="32"/>
              <w:szCs w:val="32"/>
            </w:rPr>
          </w:pPr>
        </w:p>
        <w:p w14:paraId="467B5398">
          <w:pP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pPr>
          <w:r>
            <w:rPr>
              <w:rFonts w:hint="default" w:ascii="Times New Roman" w:hAnsi="Times New Roman" w:cs="Times New Roman"/>
              <w:b/>
              <w:sz w:val="32"/>
              <w:szCs w:val="32"/>
            </w:rPr>
            <w:fldChar w:fldCharType="end"/>
          </w:r>
          <w:bookmarkStart w:id="16" w:name="_Toc569526673"/>
        </w:p>
      </w:sdtContent>
    </w:sdt>
    <w:p w14:paraId="002F6F6D">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0"/>
        <w:rPr>
          <w:rFonts w:hint="default" w:ascii="Times New Roman" w:hAnsi="Times New Roman" w:eastAsia="黑体" w:cs="Times New Roman"/>
          <w:b w:val="0"/>
          <w:bCs w:val="0"/>
          <w:color w:val="000000" w:themeColor="text1"/>
          <w:spacing w:val="1"/>
          <w:sz w:val="32"/>
          <w:szCs w:val="32"/>
          <w14:textFill>
            <w14:solidFill>
              <w14:schemeClr w14:val="tx1"/>
            </w14:solidFill>
          </w14:textFill>
        </w:rPr>
      </w:pPr>
      <w: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t>1总则</w:t>
      </w:r>
      <w:bookmarkEnd w:id="10"/>
      <w:bookmarkEnd w:id="11"/>
      <w:bookmarkEnd w:id="12"/>
      <w:bookmarkEnd w:id="13"/>
      <w:bookmarkEnd w:id="14"/>
      <w:bookmarkEnd w:id="15"/>
      <w:bookmarkEnd w:id="16"/>
    </w:p>
    <w:p w14:paraId="0CB1E10F">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outlineLvl w:val="1"/>
        <w:rPr>
          <w:rFonts w:hint="default" w:ascii="Times New Roman" w:hAnsi="Times New Roman" w:eastAsia="楷体" w:cs="Times New Roman"/>
          <w:b w:val="0"/>
          <w:bCs w:val="0"/>
          <w:snapToGrid w:val="0"/>
          <w:color w:val="000000" w:themeColor="text1"/>
          <w:spacing w:val="4"/>
          <w:kern w:val="0"/>
          <w:sz w:val="32"/>
          <w:szCs w:val="32"/>
          <w:lang w:val="en-US" w:eastAsia="zh-CN"/>
          <w14:textFill>
            <w14:solidFill>
              <w14:schemeClr w14:val="tx1"/>
            </w14:solidFill>
          </w14:textFill>
        </w:rPr>
      </w:pPr>
      <w:bookmarkStart w:id="17" w:name="_Toc30709"/>
      <w:bookmarkStart w:id="18" w:name="_Toc19484"/>
      <w:bookmarkStart w:id="19" w:name="_Toc1544353624"/>
      <w:bookmarkStart w:id="20" w:name="_Toc14004"/>
      <w:bookmarkStart w:id="21" w:name="_Toc6385"/>
      <w:bookmarkStart w:id="22" w:name="_Toc11176"/>
      <w:r>
        <w:rPr>
          <w:rFonts w:hint="default" w:ascii="Times New Roman" w:hAnsi="Times New Roman" w:eastAsia="楷体" w:cs="Times New Roman"/>
          <w:b w:val="0"/>
          <w:bCs w:val="0"/>
          <w:snapToGrid w:val="0"/>
          <w:color w:val="000000" w:themeColor="text1"/>
          <w:spacing w:val="4"/>
          <w:kern w:val="0"/>
          <w:sz w:val="32"/>
          <w:szCs w:val="32"/>
          <w:lang w:val="en-US" w:eastAsia="zh-CN"/>
          <w14:textFill>
            <w14:solidFill>
              <w14:schemeClr w14:val="tx1"/>
            </w14:solidFill>
          </w14:textFill>
        </w:rPr>
        <w:t>1.1编制目的</w:t>
      </w:r>
      <w:bookmarkEnd w:id="17"/>
      <w:bookmarkEnd w:id="18"/>
      <w:bookmarkEnd w:id="19"/>
      <w:bookmarkEnd w:id="20"/>
      <w:bookmarkEnd w:id="21"/>
      <w:bookmarkEnd w:id="22"/>
    </w:p>
    <w:p w14:paraId="5697021C">
      <w:pPr>
        <w:keepNext w:val="0"/>
        <w:keepLines w:val="0"/>
        <w:pageBreakBefore w:val="0"/>
        <w:widowControl w:val="0"/>
        <w:kinsoku/>
        <w:wordWrap/>
        <w:overflowPunct w:val="0"/>
        <w:topLinePunct w:val="0"/>
        <w:autoSpaceDE/>
        <w:autoSpaceDN/>
        <w:bidi w:val="0"/>
        <w:adjustRightInd/>
        <w:snapToGrid/>
        <w:spacing w:line="600" w:lineRule="exact"/>
        <w:ind w:right="0" w:firstLine="656" w:firstLineChars="200"/>
        <w:jc w:val="both"/>
        <w:textAlignment w:val="auto"/>
        <w:rPr>
          <w:rFonts w:hint="default" w:ascii="Times New Roman" w:hAnsi="Times New Roman" w:eastAsia="宋体" w:cs="Times New Roman"/>
          <w:b w:val="0"/>
          <w:bCs w:val="0"/>
          <w:color w:val="000000" w:themeColor="text1"/>
          <w:spacing w:val="4"/>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健全我</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突发重大动物疫情应对工作机制</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及时有效预防、控制和扑灭突发重大动物疫情，严格控制和降低突发重大动物疫情对我</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养殖业和公众健康造成的危害，维护经济持续稳定健康发展，保障公共卫生安全和人体健康。</w:t>
      </w:r>
    </w:p>
    <w:p w14:paraId="29496013">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宋体" w:cs="Times New Roman"/>
          <w:b w:val="0"/>
          <w:bCs w:val="0"/>
          <w:color w:val="000000" w:themeColor="text1"/>
          <w:lang w:val="en-US" w:eastAsia="zh-CN"/>
          <w14:textFill>
            <w14:solidFill>
              <w14:schemeClr w14:val="tx1"/>
            </w14:solidFill>
          </w14:textFill>
        </w:rPr>
      </w:pPr>
      <w:bookmarkStart w:id="23" w:name="_Toc30411"/>
      <w:bookmarkStart w:id="24" w:name="_Toc31575"/>
      <w:bookmarkStart w:id="25" w:name="_Toc24097"/>
      <w:bookmarkStart w:id="26" w:name="_Toc574776842"/>
      <w:bookmarkStart w:id="27" w:name="_Toc16851"/>
      <w:bookmarkStart w:id="28" w:name="_Toc27445"/>
      <w:r>
        <w:rPr>
          <w:rFonts w:hint="default" w:ascii="Times New Roman" w:hAnsi="Times New Roman" w:eastAsia="楷体" w:cs="Times New Roman"/>
          <w:b w:val="0"/>
          <w:bCs w:val="0"/>
          <w:color w:val="000000" w:themeColor="text1"/>
          <w:spacing w:val="1"/>
          <w:sz w:val="32"/>
          <w:szCs w:val="32"/>
          <w:lang w:val="en-US" w:eastAsia="zh-CN"/>
          <w14:textFill>
            <w14:solidFill>
              <w14:schemeClr w14:val="tx1"/>
            </w14:solidFill>
          </w14:textFill>
        </w:rPr>
        <w:t>1.2编制依据</w:t>
      </w:r>
      <w:bookmarkEnd w:id="23"/>
      <w:bookmarkEnd w:id="24"/>
      <w:bookmarkEnd w:id="25"/>
      <w:bookmarkEnd w:id="26"/>
      <w:bookmarkEnd w:id="27"/>
      <w:bookmarkEnd w:id="28"/>
    </w:p>
    <w:p w14:paraId="29F3F97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依据《中华人民共和国动物防疫法》《中华人民共和国进出境动植物检疫法》《中华人民共和国生物安全法》《重大动物疫情应急条例》《病原微生物实验室生物安全管理条例》《病死畜禽和病害畜禽产品无害化处理管理办法》《病死及病害动物无害化处理技术规范》《陕西省实施〈中华人民共和国动物防疫法〉办法》《陕西省突发重大动物疫情应急预案》《西安</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突发重大动物疫情应急预案》《西安</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应急预案管理办法</w:t>
      </w:r>
      <w:r>
        <w:rPr>
          <w:rFonts w:hint="eastAsia"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修订稿）》等有关法律法规和文件，制定本预案。</w:t>
      </w:r>
    </w:p>
    <w:p w14:paraId="12758FE4">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宋体" w:cs="Times New Roman"/>
          <w:b w:val="0"/>
          <w:bCs w:val="0"/>
          <w:color w:val="000000" w:themeColor="text1"/>
          <w:lang w:val="en-US" w:eastAsia="zh-CN"/>
          <w14:textFill>
            <w14:solidFill>
              <w14:schemeClr w14:val="tx1"/>
            </w14:solidFill>
          </w14:textFill>
        </w:rPr>
      </w:pPr>
      <w:bookmarkStart w:id="29" w:name="_Toc9767"/>
      <w:bookmarkStart w:id="30" w:name="_Toc10198"/>
      <w:bookmarkStart w:id="31" w:name="_Toc29095"/>
      <w:bookmarkStart w:id="32" w:name="_Toc570"/>
      <w:bookmarkStart w:id="33" w:name="_Toc25779"/>
      <w:bookmarkStart w:id="34" w:name="_Toc1642953970"/>
      <w:r>
        <w:rPr>
          <w:rFonts w:hint="default" w:ascii="Times New Roman" w:hAnsi="Times New Roman" w:eastAsia="楷体" w:cs="Times New Roman"/>
          <w:b w:val="0"/>
          <w:bCs w:val="0"/>
          <w:color w:val="000000" w:themeColor="text1"/>
          <w:spacing w:val="1"/>
          <w:sz w:val="32"/>
          <w:szCs w:val="32"/>
          <w:lang w:val="en-US" w:eastAsia="zh-CN"/>
          <w14:textFill>
            <w14:solidFill>
              <w14:schemeClr w14:val="tx1"/>
            </w14:solidFill>
          </w14:textFill>
        </w:rPr>
        <w:t>1.3工作原则</w:t>
      </w:r>
      <w:bookmarkEnd w:id="29"/>
      <w:bookmarkEnd w:id="30"/>
      <w:bookmarkEnd w:id="31"/>
      <w:bookmarkEnd w:id="32"/>
      <w:bookmarkEnd w:id="33"/>
      <w:bookmarkEnd w:id="34"/>
    </w:p>
    <w:p w14:paraId="35A7BC00">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坚持预防为主，预防与控制、净化、消灭相结合的防控方针</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认真落实</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加强领导、密切配合，依靠科学、依法防治，群防群控</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果断处置</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的指导方针，及时发现</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快速反应，严格处理</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减少损</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失。</w:t>
      </w:r>
    </w:p>
    <w:p w14:paraId="4A6153E4">
      <w:pPr>
        <w:keepNext w:val="0"/>
        <w:keepLines w:val="0"/>
        <w:pageBreakBefore w:val="0"/>
        <w:widowControl w:val="0"/>
        <w:kinsoku/>
        <w:wordWrap/>
        <w:overflowPunct w:val="0"/>
        <w:topLinePunct w:val="0"/>
        <w:autoSpaceDE/>
        <w:autoSpaceDN/>
        <w:bidi w:val="0"/>
        <w:adjustRightInd/>
        <w:snapToGrid/>
        <w:spacing w:line="600" w:lineRule="exact"/>
        <w:ind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统一领导，分级管理。</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政府统一领导和指挥全</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突发重大动物疫情应急处置工作，负责疫情的</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预防、</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控制</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、净化、消灭</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区级</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各有关部门按照</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本</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预案规定，在各自的职责范围内做好疫情应急处置的有关工作。</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各街办根据突发重大动物疫情的范围、性质和危害程度，按照属地管理的原则实行分级管理，负责辖区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疫情应急处置工作</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p>
    <w:p w14:paraId="2E08C7B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快速反应，高效运转。</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区级</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各有关部门</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和各街办</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要依照有关法律</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法规，健全和完善突发重大动物疫情应急体系、应急反应机制、应急物资储备管理和应急处置制度，提高突发重大动物疫情应急处置能力。发生突发重大动物疫情时，要迅速作出反应，采取果断措施，及时控制和扑灭突发重大动物疫情。</w:t>
      </w:r>
    </w:p>
    <w:p w14:paraId="7569756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cs="Times New Roman"/>
          <w:b w:val="0"/>
          <w:bCs w:val="0"/>
          <w:color w:val="000000" w:themeColor="text1"/>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预防为主，群防群控。实行预防为主，预防与控制、净化、消灭相结合的防控措施，加强防疫知识宣传，提高全社会防范突发重大动物疫情意识；落实各项防范措施，做好人员、技术、资金、物资和设备的应急储备工作，并根据需要定期开展技术培训和应急演练；开展疫情监测和预警预报，对可能引发突发重大动物疫情的情况要及时分析、预警，做到疫情早发现、快行动、严处置。突发重大动物疫情应急处置工作要依靠群众，全民防疫，动员一切资源，做到群防群控。</w:t>
      </w:r>
    </w:p>
    <w:p w14:paraId="4F4C0FCE">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宋体" w:cs="Times New Roman"/>
          <w:b w:val="0"/>
          <w:bCs w:val="0"/>
          <w:color w:val="000000" w:themeColor="text1"/>
          <w:lang w:val="en-US" w:eastAsia="zh-CN"/>
          <w14:textFill>
            <w14:solidFill>
              <w14:schemeClr w14:val="tx1"/>
            </w14:solidFill>
          </w14:textFill>
        </w:rPr>
      </w:pPr>
      <w:bookmarkStart w:id="35" w:name="_Toc4838"/>
      <w:bookmarkStart w:id="36" w:name="_Toc654866874"/>
      <w:bookmarkStart w:id="37" w:name="_Toc11445"/>
      <w:bookmarkStart w:id="38" w:name="_Toc12508"/>
      <w:bookmarkStart w:id="39" w:name="_Toc12615"/>
      <w:bookmarkStart w:id="40" w:name="_Toc7375"/>
      <w:r>
        <w:rPr>
          <w:rFonts w:hint="default" w:ascii="Times New Roman" w:hAnsi="Times New Roman" w:eastAsia="楷体" w:cs="Times New Roman"/>
          <w:b w:val="0"/>
          <w:bCs w:val="0"/>
          <w:color w:val="000000" w:themeColor="text1"/>
          <w:spacing w:val="1"/>
          <w:sz w:val="32"/>
          <w:szCs w:val="32"/>
          <w:lang w:val="en-US" w:eastAsia="zh-CN"/>
          <w14:textFill>
            <w14:solidFill>
              <w14:schemeClr w14:val="tx1"/>
            </w14:solidFill>
          </w14:textFill>
        </w:rPr>
        <w:t>1.4适用范围</w:t>
      </w:r>
      <w:bookmarkEnd w:id="35"/>
      <w:bookmarkEnd w:id="36"/>
      <w:bookmarkEnd w:id="37"/>
      <w:bookmarkEnd w:id="38"/>
      <w:bookmarkEnd w:id="39"/>
      <w:bookmarkEnd w:id="40"/>
    </w:p>
    <w:p w14:paraId="5A719ABF">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本预案适用于在我</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行政区域内</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发生的</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重大动物疫情，以及发生在本</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行政区域外且有可能影响本</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的重大动物疫情应对工作。</w:t>
      </w:r>
    </w:p>
    <w:p w14:paraId="05F5480E">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0"/>
        <w:rPr>
          <w:rFonts w:hint="default" w:ascii="Times New Roman" w:hAnsi="Times New Roman" w:eastAsia="黑体" w:cs="Times New Roman"/>
          <w:b w:val="0"/>
          <w:bCs w:val="0"/>
          <w:color w:val="000000" w:themeColor="text1"/>
          <w:spacing w:val="1"/>
          <w:sz w:val="32"/>
          <w:szCs w:val="32"/>
          <w14:textFill>
            <w14:solidFill>
              <w14:schemeClr w14:val="tx1"/>
            </w14:solidFill>
          </w14:textFill>
        </w:rPr>
      </w:pPr>
      <w:bookmarkStart w:id="41" w:name="_Toc18008"/>
      <w:bookmarkStart w:id="42" w:name="_Toc3467"/>
      <w:bookmarkStart w:id="43" w:name="_Toc15202"/>
      <w:bookmarkStart w:id="44" w:name="_Toc6949"/>
      <w:bookmarkStart w:id="45" w:name="_Toc2030109650"/>
      <w:bookmarkStart w:id="46" w:name="_Toc31999"/>
      <w:bookmarkStart w:id="47" w:name="_Toc22609"/>
      <w: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t>2应急组织体系及职责</w:t>
      </w:r>
      <w:bookmarkEnd w:id="41"/>
      <w:bookmarkEnd w:id="42"/>
      <w:bookmarkEnd w:id="43"/>
      <w:bookmarkEnd w:id="44"/>
      <w:bookmarkEnd w:id="45"/>
      <w:bookmarkEnd w:id="46"/>
      <w:bookmarkEnd w:id="47"/>
    </w:p>
    <w:p w14:paraId="00D74E5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48" w:name="_Toc5334"/>
      <w:bookmarkStart w:id="49" w:name="_Toc28664"/>
      <w:bookmarkStart w:id="50" w:name="_Toc17783"/>
      <w:bookmarkStart w:id="51" w:name="_Toc21056"/>
      <w:bookmarkStart w:id="52" w:name="_Toc20907"/>
      <w:bookmarkStart w:id="53" w:name="_Toc1443634479"/>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2.1应急指挥机构</w:t>
      </w:r>
      <w:bookmarkEnd w:id="48"/>
      <w:bookmarkEnd w:id="49"/>
      <w:bookmarkEnd w:id="50"/>
      <w:bookmarkEnd w:id="51"/>
      <w:bookmarkEnd w:id="52"/>
      <w:bookmarkEnd w:id="53"/>
    </w:p>
    <w:p w14:paraId="06CF4E5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pPr>
      <w:bookmarkStart w:id="54" w:name="_Toc21549"/>
      <w:r>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t>2.1.1</w:t>
      </w:r>
      <w:r>
        <w:rPr>
          <w:rFonts w:hint="default" w:ascii="Times New Roman" w:hAnsi="Times New Roman" w:eastAsia="仿宋_GB2312" w:cs="Times New Roman"/>
          <w:b w:val="0"/>
          <w:bCs w:val="0"/>
          <w:color w:val="000000" w:themeColor="text1"/>
          <w:spacing w:val="6"/>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t>突发重大动物疫情防控应急指挥部</w:t>
      </w:r>
      <w:bookmarkEnd w:id="54"/>
    </w:p>
    <w:p w14:paraId="6891805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政府成立</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突发重大动物疫情防控应急指挥部</w:t>
      </w:r>
      <w:r>
        <w:rPr>
          <w:rFonts w:hint="eastAsia"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以下简称</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区动物疫情</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应急指挥部），负责对全</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突发重大动物疫情应急处置工作的统一领导、统一指挥，作出处置突发重大动物疫情的重大部署，决定要采取的措施。</w:t>
      </w:r>
    </w:p>
    <w:p w14:paraId="543377A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t>总指挥：</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t>政府分管副</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t>长</w:t>
      </w:r>
    </w:p>
    <w:p w14:paraId="7534258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3"/>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t>副总指挥：</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6"/>
          <w:sz w:val="32"/>
          <w:szCs w:val="32"/>
          <w14:textFill>
            <w14:solidFill>
              <w14:schemeClr w14:val="tx1"/>
            </w14:solidFill>
          </w14:textFill>
        </w:rPr>
        <w:t>农业农村局局长</w:t>
      </w:r>
    </w:p>
    <w:p w14:paraId="72D7136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成员单位：</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纪委</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监委</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区政府办</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委宣传部</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委网信办</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发改委、</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民政局、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财政局、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区秦保局、公安分局</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、生态环境</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分</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资源规划分局、区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城管局、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交</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运</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水务局、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农业农村局、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区工业信息化和商务局</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卫</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健局</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应急局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场监管局</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、区融媒体中心</w:t>
      </w:r>
      <w:r>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疫情涉及街办</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w:t>
      </w:r>
    </w:p>
    <w:p w14:paraId="0C90DDD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55" w:name="_Toc30273"/>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2.1.2区动物疫情应急指挥部办公室</w:t>
      </w:r>
      <w:bookmarkEnd w:id="55"/>
    </w:p>
    <w:p w14:paraId="3E4BC27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区动物疫情应急指挥部办公室设在区农业农村局。</w:t>
      </w:r>
    </w:p>
    <w:p w14:paraId="731AE6E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负责按照区动物疫情应急指挥部要求，制定突发重大动物疫情防控政策，组织协调扑灭重大动物疫情工作，全面落实封锁、消毒、扑杀、无害化处理等综合防控措施，在最短时间内彻底扑灭疫情、拔除疫点，防止扩散蔓延，查处违反相关法律法规的行为，并督促各有关部门和街办按要求落实各项防控措施，指导基层加强疫情排查，规范疫情报告，建立疫情举报制度。</w:t>
      </w:r>
    </w:p>
    <w:p w14:paraId="26E241E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auto"/>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负责全区突发重大动物疫情应急处置的日常管理工作。具体包括：依法组织协调有关突发重大动物疫情应急处置工作；负责突发重大动物疫情应急处置相关制度的起草工作；组织提出有关突发重大动物疫情应急处置的政策、措施；组建并完善重大动物疫情监测和预警系统；制定或修订突发重大动物疫情应急处置预案，并组织预案演练；组织对兽医专业人员进行有关突发重大动物疫情应急知识和处理技术培训，指导各</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街办</w:t>
      </w: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实施突发重大动物疫情应急预案。</w:t>
      </w:r>
      <w:bookmarkStart w:id="56" w:name="_Toc3608"/>
    </w:p>
    <w:p w14:paraId="05656060">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textAlignment w:val="auto"/>
        <w:rPr>
          <w:rFonts w:hint="default" w:ascii="Times New Roman" w:hAnsi="Times New Roman" w:eastAsia="仿宋_GB2312" w:cs="Times New Roman"/>
          <w:b w:val="0"/>
          <w:bCs w:val="0"/>
          <w:color w:val="000000" w:themeColor="text1"/>
          <w:spacing w:val="4"/>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2.1.3区应急指挥部成员单位职责</w:t>
      </w:r>
      <w:bookmarkEnd w:id="56"/>
    </w:p>
    <w:p w14:paraId="24E5D6D9">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纪委</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监委</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：负责监督检查全</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行政机关及其工作人员在突发重大动物疫情应急处置工作中履行职责的情况，对工作中的失职</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渎职等违纪违法行为进行查处。</w:t>
      </w:r>
    </w:p>
    <w:p w14:paraId="71DD8905">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委宣传部</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区政府新闻办）、区融媒体中心</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：负责组织新闻媒体及时准确做好新闻报</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道工作</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依</w:t>
      </w:r>
      <w:r>
        <w:rPr>
          <w:rFonts w:hint="default" w:ascii="Times New Roman" w:hAnsi="Times New Roman" w:eastAsia="仿宋_GB2312" w:cs="Times New Roman"/>
          <w:b w:val="0"/>
          <w:bCs w:val="0"/>
          <w:snapToGrid w:val="0"/>
          <w:color w:val="000000" w:themeColor="text1"/>
          <w:spacing w:val="4"/>
          <w:kern w:val="0"/>
          <w:sz w:val="32"/>
          <w:szCs w:val="32"/>
          <w14:textFill>
            <w14:solidFill>
              <w14:schemeClr w14:val="tx1"/>
            </w14:solidFill>
          </w14:textFill>
        </w:rPr>
        <w:t>法保障人民群众的知情权，引导公众科学认识、理性消费动物源性产品；加强突发重大动物疫情应急处置法律法规、政策措施的宣传报道和动物防疫知识的普及；正确把握舆论导向，按照疫情管理规定和权限，及时准确发布疫情信息和防控工作进展情况</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p>
    <w:p w14:paraId="2FD95D93">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FF"/>
          <w:spacing w:val="4"/>
          <w:kern w:val="0"/>
          <w:sz w:val="32"/>
          <w:szCs w:val="32"/>
          <w:lang w:val="en-US" w:eastAsia="zh-CN"/>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区委网信办：负责指导协调网络舆情信息处置工作。</w:t>
      </w:r>
    </w:p>
    <w:p w14:paraId="05C58A0D">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区发改委：负责强化</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市</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场价格监测；按照相关规划和现行有关投资政策，支持完善重大动物疫情防控无害化处理场所、兽医实验室、动物防疫体系、防疫应急物资储备库等相关基础设施建设。</w:t>
      </w:r>
    </w:p>
    <w:p w14:paraId="79C8F2F2">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公安分局：负责做好社会治安管理，配合做好疫区封锁、动物及动物产品运载工具检查等工作，严厉打击违法违规调运动物及动物产品和恶意传播动物疫情信息等违法犯罪行为，依法、及时、妥善处置疫情相关突发事件，做好行政执法与刑事司法的衔接，维护社会稳定。</w:t>
      </w:r>
    </w:p>
    <w:p w14:paraId="6823FB18">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区民政局：负责对符合条件的受灾困难群众进行生活救助，组织社会慈善、社会捐助、群众互助等活动。</w:t>
      </w:r>
    </w:p>
    <w:p w14:paraId="2313A1AD">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财政局：负责保障突发重大动物疫情应急处置所需资金，包括监测预警、封锁、扑杀、无害化处理、消毒、紧急免疫接种等工作经费，保障储备动物疫情应急物资所需资金及扑杀畜禽的补偿资金，并做好工作经费和专项资金使用的监督管理工作。</w:t>
      </w:r>
    </w:p>
    <w:p w14:paraId="0D38D2F1">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秦保局：负责组织开展陆生野生动物资源调查和观测，提出有关陆生野生动物的分布、活动范围和迁徙动态趋势等预警信息，做好陆生野生动物疫源疫病监测；强化野外巡查巡护，发现陆生野生动物异常死亡的，按有关规定开展处置工作。</w:t>
      </w:r>
    </w:p>
    <w:p w14:paraId="6B67332B">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生态环境</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分</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局：负责指导</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评估</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重大动物疫情应急处置对环境的影响，指导无害化处理场所选址及动物尸体处理方式等工作，控制降低对环境的污染。</w:t>
      </w:r>
    </w:p>
    <w:p w14:paraId="78575EF1">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eastAsia="zh-CN"/>
          <w14:textFill>
            <w14:solidFill>
              <w14:schemeClr w14:val="tx1"/>
            </w14:solidFill>
          </w14:textFill>
        </w:rPr>
        <w:t>资源规划分局：负责配合区农业农村局做好动物无害化处理场所选址。</w:t>
      </w:r>
    </w:p>
    <w:p w14:paraId="17EF5574">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区城管局：负责餐厨废弃物处理监管，指导收集、运输、处置的环节监管。</w:t>
      </w:r>
    </w:p>
    <w:p w14:paraId="132BBF78">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区交运局：负责配合在高速公路、国道、省道和高风险的县道、乡道入口设立临时性动物防疫检查站</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点），提供应急处置有关人员以及防治药品、疫苗、样本、应急物资等水路、公路运输保障。依据农业农村部门的动物调运规定，协助区农业农村局、公安分局严格查处违法违规调运动物及动物产品进入</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临潼</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区的运输车辆。</w:t>
      </w:r>
    </w:p>
    <w:p w14:paraId="6CB1EDAC">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区水务局：负责从水资源影响角度指导无害化处理场所选址工作，疫情处置过程和处置后有关水源、水体的水质监测、消毒等工作。</w:t>
      </w:r>
    </w:p>
    <w:p w14:paraId="20341151">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农业农村局：负责组织制定突发重大动物疫情防控技术方案；统一组织实施突发重大动物疫情的防控措施，并对相关单位防控情况进行检查、指导；根据预防控制工作需要，依法提出对有关区域实施封锁等建议；按照规定向相关部门和机构通报疫情信息；紧急组织调拨疫苗、消毒药品等应急防疫物资；提出启动、终止疫情应急控制措施建议；组织对扑灭疫情及扑杀补偿等费用和疫情损失进行评估。</w:t>
      </w:r>
    </w:p>
    <w:p w14:paraId="4BBD967E">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工业信息化和商务局：负责根据实际情况和需要，配合区农业农村局研究制定突发重大动物疫情应急防治技术方案，组织科研力量开展应急防治技术科研攻关，协调解决防治技术应用中的科技问题。负责组织协调在发生突发重大动物疫情期间部分生活必需品的市场供应工作。</w:t>
      </w:r>
    </w:p>
    <w:p w14:paraId="498BF7F8">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区卫健局：负责依据农业农村局提供的相关数据，根据上级制定的有关疫区人员防护标准，负责技术指导及高风险人群的预防和医学观察、人畜共患传染病易感人群监测、防治、宣传等工作。</w:t>
      </w:r>
    </w:p>
    <w:p w14:paraId="36CD1BCE">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区应急局：负责指导我区重大动物疫情应急预案体系建设以及应急演练工作，配合做好突发重大动物疫情应急处置工作。</w:t>
      </w:r>
    </w:p>
    <w:p w14:paraId="584087B3">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区</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市</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场监管局：负责做好疫区、受威胁区内动物及动物产品交易市场的监管工作，监督市场落实动物防疫管理制度，负责做好动物源性食品流通餐饮环节监管，规范冷库和冷冻畜禽产品经营行为，严防病死动物、病害动物产品流入市场、进入餐桌。</w:t>
      </w:r>
    </w:p>
    <w:p w14:paraId="181E3BD1">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疫情涉及街办：负责在区应急指挥部的统一领导下做好突发重大动物疫情应急处置工作。</w:t>
      </w:r>
    </w:p>
    <w:p w14:paraId="02B62A3C">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cs="Times New Roman"/>
          <w:b w:val="0"/>
          <w:bCs w:val="0"/>
          <w:color w:val="000000" w:themeColor="text1"/>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其他有关部门根据本部门职责和突发重大动物疫情应急处置的需要，组织做好相关工作。</w:t>
      </w:r>
    </w:p>
    <w:p w14:paraId="25002301">
      <w:pPr>
        <w:keepNext w:val="0"/>
        <w:keepLines w:val="0"/>
        <w:pageBreakBefore w:val="0"/>
        <w:widowControl w:val="0"/>
        <w:tabs>
          <w:tab w:val="left" w:pos="969"/>
        </w:tabs>
        <w:kinsoku/>
        <w:wordWrap/>
        <w:overflowPunct w:val="0"/>
        <w:topLinePunct w:val="0"/>
        <w:autoSpaceDE/>
        <w:autoSpaceDN/>
        <w:bidi w:val="0"/>
        <w:adjustRightInd/>
        <w:snapToGrid/>
        <w:spacing w:line="600" w:lineRule="exact"/>
        <w:ind w:left="0" w:leftChars="0" w:right="0" w:firstLine="668" w:firstLineChars="200"/>
        <w:jc w:val="both"/>
        <w:textAlignment w:val="baseline"/>
        <w:outlineLvl w:val="2"/>
        <w:rPr>
          <w:rFonts w:hint="default" w:ascii="Times New Roman" w:hAnsi="Times New Roman" w:eastAsia="仿宋_GB2312" w:cs="Times New Roman"/>
          <w:b w:val="0"/>
          <w:bCs w:val="0"/>
          <w:color w:val="000000" w:themeColor="text1"/>
          <w:sz w:val="32"/>
          <w:szCs w:val="32"/>
          <w:lang w:val="en-US" w:eastAsia="zh-CN"/>
          <w14:textFill>
            <w14:solidFill>
              <w14:schemeClr w14:val="tx1"/>
            </w14:solidFill>
          </w14:textFill>
        </w:rPr>
      </w:pPr>
      <w:bookmarkStart w:id="57" w:name="_Toc19920"/>
      <w:r>
        <w:rPr>
          <w:rFonts w:hint="default" w:ascii="Times New Roman" w:hAnsi="Times New Roman" w:eastAsia="仿宋_GB2312" w:cs="Times New Roman"/>
          <w:b w:val="0"/>
          <w:bCs w:val="0"/>
          <w:color w:val="000000" w:themeColor="text1"/>
          <w:spacing w:val="7"/>
          <w:sz w:val="32"/>
          <w:szCs w:val="32"/>
          <w14:textFill>
            <w14:solidFill>
              <w14:schemeClr w14:val="tx1"/>
            </w14:solidFill>
          </w14:textFill>
        </w:rPr>
        <w:t>2</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.1.4专家</w:t>
      </w:r>
      <w:bookmarkEnd w:id="57"/>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组</w:t>
      </w:r>
    </w:p>
    <w:p w14:paraId="2171B933">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区</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农业农村局组建区突发重大动物疫情防控应急专家组。专家组由动物疫病防治、流行病学、野生动物、动物福利、经济学、风险评估、法律等方面专家组成，负责提供技术指导和技术支撑。具体职责如下：</w:t>
      </w:r>
    </w:p>
    <w:p w14:paraId="5A7BD5FF">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eastAsia"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1</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对突发重大动物疫情相应级别采取的技术措施提出建议；</w:t>
      </w:r>
    </w:p>
    <w:p w14:paraId="4078B4FA">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eastAsia"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2</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对突发重大动物疫情应急准备工作提出建议；</w:t>
      </w:r>
    </w:p>
    <w:p w14:paraId="03FDA0C9">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eastAsia"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3</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参与</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制定</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或修订突发重大动物疫情应急工作方案和处置技术方案；</w:t>
      </w:r>
    </w:p>
    <w:p w14:paraId="504A38BE">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eastAsia"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4</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对突发重大动物疫情应急处置工作进行技术指导、培训；</w:t>
      </w:r>
    </w:p>
    <w:p w14:paraId="5967B234">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eastAsia"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5</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对突发重大动物疫情应急反应的终止、后期评估提出建议；</w:t>
      </w:r>
    </w:p>
    <w:p w14:paraId="012E3AA3">
      <w:pPr>
        <w:pStyle w:val="2"/>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eastAsia"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6</w:t>
      </w:r>
      <w:r>
        <w:rPr>
          <w:rFonts w:hint="eastAsia"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承担</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区</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应急指挥</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部</w:t>
      </w: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交办的其他工作。</w:t>
      </w:r>
    </w:p>
    <w:p w14:paraId="2F60ADDA">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textAlignment w:val="baseline"/>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58" w:name="_Toc20391"/>
      <w:bookmarkStart w:id="59" w:name="_Toc13478"/>
      <w:bookmarkStart w:id="60" w:name="_Toc1450182073"/>
      <w:bookmarkStart w:id="61" w:name="_Toc24759"/>
      <w:bookmarkStart w:id="62" w:name="_Toc6836"/>
      <w:bookmarkStart w:id="63" w:name="_Toc29305"/>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2.2应急处置机构</w:t>
      </w:r>
      <w:bookmarkEnd w:id="58"/>
      <w:bookmarkEnd w:id="59"/>
      <w:bookmarkEnd w:id="60"/>
      <w:bookmarkEnd w:id="61"/>
      <w:bookmarkEnd w:id="62"/>
      <w:bookmarkEnd w:id="63"/>
    </w:p>
    <w:p w14:paraId="324CE06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textAlignment w:val="baseline"/>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64" w:name="_Toc9297"/>
      <w:bookmarkStart w:id="65" w:name="_Toc6936"/>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2.2.1动物疫病预防控制机构</w:t>
      </w:r>
      <w:bookmarkEnd w:id="64"/>
      <w:bookmarkEnd w:id="65"/>
    </w:p>
    <w:p w14:paraId="133C6F6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负责突发重大动物疫病诊断和报告，开展临床诊断和实验室检测，组织现场流行病学调查，加强疫病监测，对现场应急处置工作进行技术指导。负责监督指导突发重大动物疫病防控应急处置，规范落实封锁、隔离、紧急免疫、扑杀、无害化处理、消毒等应急措施；负责</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做好疫点、疫区、受威胁区内动物检疫和调运监管工作。</w:t>
      </w:r>
    </w:p>
    <w:p w14:paraId="5A6A425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textAlignment w:val="baseline"/>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66" w:name="_Toc25451"/>
      <w:bookmarkStart w:id="67" w:name="_Toc3223"/>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2.2.2农业综合执法机构</w:t>
      </w:r>
      <w:bookmarkEnd w:id="66"/>
      <w:bookmarkEnd w:id="67"/>
    </w:p>
    <w:p w14:paraId="1EC2181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eastAsia="zh-CN"/>
          <w14:textFill>
            <w14:solidFill>
              <w14:schemeClr w14:val="tx1"/>
            </w14:solidFill>
          </w14:textFill>
        </w:rPr>
        <w:t>负责查处突发重大动物疫病应急处置过程中存在的违法违规行为，对于涉嫌违法犯罪的行为移交司法部门依法处置，整理典型案例通报全区。</w:t>
      </w:r>
    </w:p>
    <w:p w14:paraId="423065D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Arial" w:cs="Times New Roman"/>
          <w:b w:val="0"/>
          <w:bCs w:val="0"/>
          <w:snapToGrid w:val="0"/>
          <w:color w:val="000000" w:themeColor="text1"/>
          <w:kern w:val="0"/>
          <w:sz w:val="21"/>
          <w:szCs w:val="21"/>
          <w:lang w:val="en-US" w:eastAsia="zh-CN"/>
          <w14:textFill>
            <w14:solidFill>
              <w14:schemeClr w14:val="tx1"/>
            </w14:solidFill>
          </w14:textFill>
        </w:rPr>
      </w:pPr>
      <w:bookmarkStart w:id="68" w:name="_Toc5491"/>
      <w:bookmarkStart w:id="69" w:name="_Toc4579"/>
      <w:bookmarkStart w:id="70" w:name="_Toc18931"/>
      <w:bookmarkStart w:id="71" w:name="_Toc1877"/>
      <w:bookmarkStart w:id="72" w:name="_Toc25045"/>
      <w:bookmarkStart w:id="73" w:name="_Toc1620369849"/>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2.3现场指挥机构</w:t>
      </w:r>
      <w:bookmarkEnd w:id="68"/>
      <w:bookmarkEnd w:id="69"/>
      <w:bookmarkEnd w:id="70"/>
      <w:bookmarkEnd w:id="71"/>
      <w:bookmarkEnd w:id="72"/>
      <w:bookmarkEnd w:id="73"/>
    </w:p>
    <w:p w14:paraId="024A1D2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cs="Times New Roman"/>
          <w:b w:val="0"/>
          <w:bCs w:val="0"/>
          <w:color w:val="000000" w:themeColor="text1"/>
          <w:lang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根据动物疫情应急处置工作需要，由区突发重大动物疫情防控应急指挥部组建现场指挥部，并视疫情发展态势成立若干工作组，分工协作，有序开展现场处置工作。</w:t>
      </w:r>
    </w:p>
    <w:p w14:paraId="6B33B67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74" w:name="_Toc2135"/>
      <w:bookmarkStart w:id="75" w:name="_Toc32316"/>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2.3.1综合协调组</w:t>
      </w:r>
      <w:bookmarkEnd w:id="74"/>
      <w:bookmarkEnd w:id="75"/>
    </w:p>
    <w:p w14:paraId="7B9ECD1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outlineLvl w:val="2"/>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由区农业农村局牵头，公安分局、区卫健局、区应急局、区市场监管局组成。</w:t>
      </w:r>
    </w:p>
    <w:p w14:paraId="40CD023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56"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主要职责：负责重大动物疫情防控应急处置工作相关信息的收集、分析和汇总工作，组织各类会议，起草相关材料、文件、通知等，负责传达中央、省、</w:t>
      </w:r>
      <w:r>
        <w:rPr>
          <w:rFonts w:hint="eastAsia"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市、</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区领导指示、批示精神，及时向区应急指挥部报告各成员单位工作责任落实情况和相关工作情况。</w:t>
      </w:r>
    </w:p>
    <w:p w14:paraId="33B5B20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textAlignment w:val="baseline"/>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76" w:name="_Toc3460"/>
      <w:bookmarkStart w:id="77" w:name="_Toc23638"/>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2.3.2现场处置组</w:t>
      </w:r>
      <w:bookmarkEnd w:id="76"/>
      <w:bookmarkEnd w:id="77"/>
    </w:p>
    <w:p w14:paraId="761D531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由区农业农村局牵头，</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公安分局</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、区秦保局、生态环境分局、资源规划分局、区城管局、区交运局、区水务局、区应急管理局、区市场监管局、疫情涉及各街办组成。</w:t>
      </w:r>
    </w:p>
    <w:p w14:paraId="51E91D1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主要职责：负责按照区应急指挥部的要求进行现场处置，安排协调扑灭重大动物疫情工作，全面落实封锁、消毒、扑杀、无害化处理等综合防控措施，在最短时间内彻底扑灭疫情、拔除疫点，防止疫情扩散蔓延；督促各街办按要求落实各项防控措施，指导基层加强疫情排查、规范疫情报告、建立疫情举报制度。</w:t>
      </w:r>
    </w:p>
    <w:p w14:paraId="4F5498F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宋体"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资源规划分局、生态环境分局、区秦保局、区水务局等部门协助区农业农村局确定扑杀动物无害化处理点的选址</w:t>
      </w:r>
      <w:r>
        <w:rPr>
          <w:rFonts w:hint="default" w:ascii="Times New Roman" w:hAnsi="Times New Roman" w:eastAsia="宋体" w:cs="Times New Roman"/>
          <w:b w:val="0"/>
          <w:bCs w:val="0"/>
          <w:color w:val="000000" w:themeColor="text1"/>
          <w:spacing w:val="-4"/>
          <w:sz w:val="32"/>
          <w:szCs w:val="32"/>
          <w:lang w:val="en-US" w:eastAsia="zh-CN"/>
          <w14:textFill>
            <w14:solidFill>
              <w14:schemeClr w14:val="tx1"/>
            </w14:solidFill>
          </w14:textFill>
        </w:rPr>
        <w:t>。</w:t>
      </w:r>
    </w:p>
    <w:p w14:paraId="4C39490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78" w:name="_Toc20745"/>
      <w:bookmarkStart w:id="79" w:name="_Toc14865"/>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2.3.3流调排查组</w:t>
      </w:r>
      <w:bookmarkEnd w:id="78"/>
      <w:bookmarkEnd w:id="79"/>
    </w:p>
    <w:p w14:paraId="323E201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由区农业农村局牵头，公安分局、区秦保局、区城管局、区市场监管局及疫情涉及各街办组成。</w:t>
      </w:r>
    </w:p>
    <w:p w14:paraId="785397E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主要职责：负责突发重大动物疫情监测、检测、诊断、流行病学调查、疫情报告以及其他预防、控制等工作，并对突发重大动物疫情未来发展趋势进行预判；负责开展动物疫病流行病学调查；针对畜禽养殖场、交易市场、屠宰场等重点区域和关键环节，加大巡查力度，开展针对性抽样监测；开展陆生野生动物突发重大疫情监测；做好市场流通、仓储等环节动物产品的监管及问题动物产品的排查和溯源。</w:t>
      </w:r>
    </w:p>
    <w:p w14:paraId="1B1C569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 w:cs="Times New Roman"/>
          <w:b w:val="0"/>
          <w:bCs w:val="0"/>
          <w:color w:val="000000" w:themeColor="text1"/>
          <w:spacing w:val="6"/>
          <w:sz w:val="32"/>
          <w:szCs w:val="32"/>
          <w:lang w:val="en-US" w:eastAsia="zh-CN"/>
          <w14:textFill>
            <w14:solidFill>
              <w14:schemeClr w14:val="tx1"/>
            </w14:solidFill>
          </w14:textFill>
        </w:rPr>
      </w:pPr>
      <w:bookmarkStart w:id="80" w:name="_Toc19870"/>
      <w:bookmarkStart w:id="81" w:name="_Toc32665"/>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2.3.4新闻宣传和舆情引导组</w:t>
      </w:r>
      <w:bookmarkEnd w:id="80"/>
      <w:bookmarkEnd w:id="81"/>
    </w:p>
    <w:p w14:paraId="23F2BF8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由区委宣传部牵头，区委网信办、区融媒体中心、公安分局和疫情涉及各街办组成。</w:t>
      </w:r>
    </w:p>
    <w:p w14:paraId="13FB5A1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主要职责：负责突发重大动物疫情防控知识宣传、舆情分析研判等工作；负责舆情管控、信息发布和宣传引导工作。</w:t>
      </w:r>
    </w:p>
    <w:p w14:paraId="1638A2F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 w:cs="Times New Roman"/>
          <w:b w:val="0"/>
          <w:bCs w:val="0"/>
          <w:color w:val="000000" w:themeColor="text1"/>
          <w:spacing w:val="6"/>
          <w:sz w:val="32"/>
          <w:szCs w:val="32"/>
          <w:lang w:val="en-US" w:eastAsia="zh-CN"/>
          <w14:textFill>
            <w14:solidFill>
              <w14:schemeClr w14:val="tx1"/>
            </w14:solidFill>
          </w14:textFill>
        </w:rPr>
      </w:pPr>
      <w:bookmarkStart w:id="82" w:name="_Toc24801"/>
      <w:bookmarkStart w:id="83" w:name="_Toc7952"/>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2.3.5后勤保障组</w:t>
      </w:r>
      <w:bookmarkEnd w:id="82"/>
      <w:bookmarkEnd w:id="83"/>
    </w:p>
    <w:p w14:paraId="3A09E15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由区财政局牵头，区农业农村局、区发改委、区交运局、区工业信息化和商务局、区市场监管局、疫情涉及各街办和区级有关部门组成。</w:t>
      </w:r>
    </w:p>
    <w:p w14:paraId="545FC93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主要职责：负责组织协调物资保障、稳产保供、应急运输和突发重大动物疫病灾害补偿、恢复生产、市场调控等工作。</w:t>
      </w:r>
    </w:p>
    <w:p w14:paraId="6FF8D50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 w:cs="Times New Roman"/>
          <w:b w:val="0"/>
          <w:bCs w:val="0"/>
          <w:color w:val="000000" w:themeColor="text1"/>
          <w:spacing w:val="6"/>
          <w:sz w:val="32"/>
          <w:szCs w:val="32"/>
          <w:lang w:val="en-US" w:eastAsia="zh-CN"/>
          <w14:textFill>
            <w14:solidFill>
              <w14:schemeClr w14:val="tx1"/>
            </w14:solidFill>
          </w14:textFill>
        </w:rPr>
      </w:pPr>
      <w:bookmarkStart w:id="84" w:name="_Toc32080"/>
      <w:bookmarkStart w:id="85" w:name="_Toc16219"/>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2.3.6维稳安保组</w:t>
      </w:r>
      <w:bookmarkEnd w:id="84"/>
      <w:bookmarkEnd w:id="85"/>
    </w:p>
    <w:p w14:paraId="48F1E8D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由公安分局牵头，疫情涉及各街办和区级有关部门组成。</w:t>
      </w:r>
    </w:p>
    <w:p w14:paraId="5878DBF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主要职责：负责突发重大动物疫情处置现场警戒、维稳、安保等工作，维护现场及周边区域社会治安秩序和道路交通安全；打击涉及突发重大动物疫情的违法行为。</w:t>
      </w:r>
    </w:p>
    <w:p w14:paraId="725F4C12">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0"/>
        <w:rPr>
          <w:rFonts w:hint="default" w:ascii="Times New Roman" w:hAnsi="Times New Roman" w:eastAsia="宋体" w:cs="Times New Roman"/>
          <w:b w:val="0"/>
          <w:bCs w:val="0"/>
          <w:snapToGrid w:val="0"/>
          <w:color w:val="000000" w:themeColor="text1"/>
          <w:kern w:val="0"/>
          <w:sz w:val="31"/>
          <w:szCs w:val="31"/>
          <w:lang w:val="en-US" w:eastAsia="zh-CN" w:bidi="ar"/>
          <w14:textFill>
            <w14:solidFill>
              <w14:schemeClr w14:val="tx1"/>
            </w14:solidFill>
          </w14:textFill>
        </w:rPr>
      </w:pPr>
      <w:bookmarkStart w:id="86" w:name="_Toc30087"/>
      <w:bookmarkStart w:id="87" w:name="_Toc611794611"/>
      <w:bookmarkStart w:id="88" w:name="_Toc4508"/>
      <w:bookmarkStart w:id="89" w:name="_Toc13188"/>
      <w:bookmarkStart w:id="90" w:name="_Toc6074"/>
      <w:bookmarkStart w:id="91" w:name="_Toc13760"/>
      <w:bookmarkStart w:id="92" w:name="_Toc8408"/>
      <w: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t>3动物疫情报告和确认</w:t>
      </w:r>
      <w:bookmarkEnd w:id="86"/>
      <w:bookmarkEnd w:id="87"/>
      <w:bookmarkEnd w:id="88"/>
      <w:bookmarkEnd w:id="89"/>
      <w:bookmarkEnd w:id="90"/>
      <w:bookmarkEnd w:id="91"/>
      <w:bookmarkEnd w:id="92"/>
    </w:p>
    <w:p w14:paraId="0DED139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cs="Times New Roman"/>
          <w:b w:val="0"/>
          <w:bCs w:val="0"/>
          <w:color w:val="000000" w:themeColor="text1"/>
          <w14:textFill>
            <w14:solidFill>
              <w14:schemeClr w14:val="tx1"/>
            </w14:solidFill>
          </w14:textFill>
        </w:rPr>
      </w:pPr>
      <w:bookmarkStart w:id="93" w:name="_Toc22687"/>
      <w:bookmarkStart w:id="94" w:name="_Toc19170"/>
      <w:bookmarkStart w:id="95" w:name="_Toc9058"/>
      <w:bookmarkStart w:id="96" w:name="_Toc80189322"/>
      <w:bookmarkStart w:id="97" w:name="_Toc11957"/>
      <w:bookmarkStart w:id="98" w:name="_Toc19762"/>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3.1动物疫情报告</w:t>
      </w:r>
      <w:bookmarkEnd w:id="93"/>
      <w:bookmarkEnd w:id="94"/>
      <w:bookmarkEnd w:id="95"/>
      <w:bookmarkEnd w:id="96"/>
      <w:bookmarkEnd w:id="97"/>
      <w:bookmarkEnd w:id="98"/>
    </w:p>
    <w:p w14:paraId="0E7B4DA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任何单位和个人发现动物染疫或疑似染疫的，应当立即向区农业农村局、区动物疾病预防控制中心或所在地畜牧兽医站报告，并迅速采取隔离等控制措施，防止动物疫情扩散。</w:t>
      </w:r>
    </w:p>
    <w:p w14:paraId="5C34FD0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区农业农村局和区动物疾病预防控制中心应当设立并公开疫情举报电话。</w:t>
      </w:r>
    </w:p>
    <w:p w14:paraId="26437F3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任何单位和个人不得瞒报、谎报、迟报、漏报动物疫情，不得授意他人瞒报、谎报、迟报动物疫情，不得阻碍他人报告动物疫情。</w:t>
      </w:r>
    </w:p>
    <w:p w14:paraId="7D924BC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区农业农村局主管全区动物疫情报告工作。区动物疾病预防控制中心承担全区动物疫情信息收集、汇总分析、预警和报告工作。</w:t>
      </w:r>
    </w:p>
    <w:p w14:paraId="59E1E63D">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99" w:name="_Toc21931"/>
      <w:bookmarkStart w:id="100" w:name="_Toc30162"/>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3.1.1责任报告单位和责任报告人</w:t>
      </w:r>
      <w:bookmarkEnd w:id="99"/>
      <w:bookmarkEnd w:id="100"/>
    </w:p>
    <w:p w14:paraId="5F15A5DB">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责任报告单位。农业农村部门、动物疾病预防控制机构、农业综合执法机构、林业等部门；疫情涉及各街办；相关科研单位和院校；动物饲养、经营单位，动物产品生产、经营单位，动物诊疗和第三方兽医检测机构；其他有关部门和单位。</w:t>
      </w:r>
    </w:p>
    <w:p w14:paraId="539FDD0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责任报告人。农业农村、林业等部门及机构的兽医人员；疫情涉及各街办有关人员；科研单位和院校的相关人员；动物饲养、经营单位和动物产品生产、经营单位的人员，动物诊疗和第三方兽医检测机构人员；其他有关人员。</w:t>
      </w:r>
    </w:p>
    <w:p w14:paraId="71D7BBA3">
      <w:pPr>
        <w:keepNext/>
        <w:keepLines w:val="0"/>
        <w:pageBreakBefore w:val="0"/>
        <w:widowControl w:val="0"/>
        <w:kinsoku/>
        <w:wordWrap/>
        <w:overflowPunct w:val="0"/>
        <w:topLinePunct w:val="0"/>
        <w:autoSpaceDE/>
        <w:autoSpaceDN/>
        <w:bidi w:val="0"/>
        <w:adjustRightInd/>
        <w:snapToGrid/>
        <w:spacing w:line="600" w:lineRule="exact"/>
        <w:ind w:right="0" w:firstLine="664" w:firstLineChars="200"/>
        <w:jc w:val="both"/>
        <w:textAlignment w:val="baseline"/>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3.1.2报告形式</w:t>
      </w:r>
    </w:p>
    <w:p w14:paraId="47B05E4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突发重大动物疫情实行快报制度。区动物疾病预防控制中心应当按照国家有关规定报告突发重大动物疫情，其他责任报告单位和个人以电话或书面形式报告。</w:t>
      </w:r>
    </w:p>
    <w:p w14:paraId="3CA386E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 w:cs="Times New Roman"/>
          <w:b w:val="0"/>
          <w:bCs w:val="0"/>
          <w:color w:val="000000" w:themeColor="text1"/>
          <w:spacing w:val="6"/>
          <w:sz w:val="32"/>
          <w:szCs w:val="32"/>
          <w:lang w:val="en-US" w:eastAsia="zh-CN"/>
          <w14:textFill>
            <w14:solidFill>
              <w14:schemeClr w14:val="tx1"/>
            </w14:solidFill>
          </w14:textFill>
        </w:rPr>
      </w:pPr>
      <w:bookmarkStart w:id="101" w:name="_Toc25862"/>
      <w:bookmarkStart w:id="102" w:name="_Toc21441"/>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3.1.3报告时限和程序</w:t>
      </w:r>
      <w:bookmarkEnd w:id="101"/>
      <w:bookmarkEnd w:id="102"/>
    </w:p>
    <w:p w14:paraId="0289D23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重大动物疫情后，区级动物疫病预防控制中心应当在1小时内将相关情况报告至区农业农村局，并同时报告市动物疫病预防控制中心。区农业农村局应当在接到报告后1小时内，将相关情况报市农业农村局和区人民政府。</w:t>
      </w:r>
    </w:p>
    <w:p w14:paraId="3BB1CC2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03" w:name="_Toc18225"/>
      <w:bookmarkStart w:id="104" w:name="_Toc31190"/>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3.1.4报告内容</w:t>
      </w:r>
      <w:bookmarkEnd w:id="103"/>
      <w:bookmarkEnd w:id="104"/>
    </w:p>
    <w:p w14:paraId="19B7382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突发重大动物疫情发生的时间、地点，染疫、疑似染疫动物种类和品种、动物来源、同群动物数量、发病数量、死亡数量、临床症状、病理变化、免疫情况、诊断情况，是否有人员感染，已采取的控制措施，流行病学调查情况，疫区及受威胁区情况，疫情报告的单位和个人、联系方式，其他需要报告的信息等。</w:t>
      </w:r>
    </w:p>
    <w:p w14:paraId="5970A12A">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05" w:name="_Toc17425"/>
      <w:bookmarkStart w:id="106" w:name="_Toc18235"/>
      <w:bookmarkStart w:id="107" w:name="_Toc6559"/>
      <w:bookmarkStart w:id="108" w:name="_Toc27321"/>
      <w:bookmarkStart w:id="109" w:name="_Toc1340181902"/>
      <w:bookmarkStart w:id="110" w:name="_Toc27717"/>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3.2动物疫情确认</w:t>
      </w:r>
      <w:bookmarkEnd w:id="105"/>
      <w:bookmarkEnd w:id="106"/>
      <w:bookmarkEnd w:id="107"/>
      <w:bookmarkEnd w:id="108"/>
      <w:bookmarkEnd w:id="109"/>
      <w:bookmarkEnd w:id="110"/>
    </w:p>
    <w:p w14:paraId="6E7A6BE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突发重大动物疫情按照“可疑病例—疑似疫情—确诊疫情”的程序认定和报告。区农业农村局根据现场诊断结果、实验室检测结果和流行病学调查信息，认定可疑病例；市农业农村局根据现场诊断结果、实验室检测结果和流行病学调查信息，认定疑似疫情；省农业农村厅根据诊断结果、实验室检测结果和流行病学调查信息认定确诊疫情。</w:t>
      </w:r>
    </w:p>
    <w:p w14:paraId="1DE9A4D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动物疾病预防控制中心接到动物染疫或疑似染疫报告后，应当立即派出2名以上兽医人员赶赴现场进行诊断和流行病学调查，必要时可请市动物疫病预防控制中心派人协助进行诊断。符合可疑病例标准的，应判定为可疑病例，及时进行采样送检，并报区农业农村部门进行可疑疫情认定。</w:t>
      </w:r>
    </w:p>
    <w:p w14:paraId="0B9EDE6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对认定为可疑疫情的病例样品，经区动物疾病预防控制中心实验室检测，符合疑似病例标准的，判定为疑似病例；区动物疾病预防控制中心难以判定的，委托市动物疫病预防控制中心或县级以上农业农村部门认定的第三方兽医检测机构进行实验室检测，由市动物疫病预防控制中心根据检测结果，进行疑似病例判定，并报市农业农村局进行疑似疫情认定。</w:t>
      </w:r>
    </w:p>
    <w:p w14:paraId="184DEDFA">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对认定为疑似疫情的病例样品，经市动物疫病预防控制中心实验室检测，符合确诊病例标准的，判定为确诊病例。市动物疫病预防控制中心难以确诊的，应送省动物疫病预防控制中心进行确诊，省农业农村厅根据确诊结果进行确诊疫情认定。</w:t>
      </w:r>
    </w:p>
    <w:p w14:paraId="2442A80D">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11" w:name="_Toc11676"/>
      <w:bookmarkStart w:id="112" w:name="_Toc142"/>
      <w:bookmarkStart w:id="113" w:name="_Toc1286615615"/>
      <w:bookmarkStart w:id="114" w:name="_Toc3518"/>
      <w:bookmarkStart w:id="115" w:name="_Toc28016"/>
      <w:bookmarkStart w:id="116" w:name="_Toc2372"/>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3.3前期处置措施</w:t>
      </w:r>
      <w:bookmarkEnd w:id="111"/>
      <w:bookmarkEnd w:id="112"/>
      <w:bookmarkEnd w:id="113"/>
      <w:bookmarkEnd w:id="114"/>
      <w:bookmarkEnd w:id="115"/>
      <w:bookmarkEnd w:id="116"/>
    </w:p>
    <w:p w14:paraId="32723F6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发现可疑动物疫情后，区农业农村局、区动物疾病预防</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控制</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中心、区畜牧兽医技术推广中心、区农业综合执法大队按照相关程序和规定，立即采取临时隔离、控制、消毒、追踪等必要措施，防止疫情扩散。在疫情报告期间，必要时，区政府可以做出临时封锁决定，并采取扑杀、销毁等措施。</w:t>
      </w:r>
    </w:p>
    <w:p w14:paraId="6D576C1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17" w:name="_Toc9534"/>
      <w:bookmarkStart w:id="118" w:name="_Toc27552"/>
      <w:bookmarkStart w:id="119" w:name="_Toc6655"/>
      <w:bookmarkStart w:id="120" w:name="_Toc27772"/>
      <w:bookmarkStart w:id="121" w:name="_Toc2108798000"/>
      <w:bookmarkStart w:id="122" w:name="_Toc9540"/>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3.4紧急流行病学调查</w:t>
      </w:r>
      <w:bookmarkEnd w:id="117"/>
      <w:bookmarkEnd w:id="118"/>
      <w:bookmarkEnd w:id="119"/>
      <w:bookmarkEnd w:id="120"/>
      <w:bookmarkEnd w:id="121"/>
      <w:bookmarkEnd w:id="122"/>
    </w:p>
    <w:p w14:paraId="0705BEB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23" w:name="_Toc8407"/>
      <w:bookmarkStart w:id="124" w:name="_Toc16291"/>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3.4.1发病情况调查</w:t>
      </w:r>
      <w:bookmarkEnd w:id="123"/>
      <w:bookmarkEnd w:id="124"/>
    </w:p>
    <w:p w14:paraId="79C6121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outlineLvl w:val="2"/>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统计疫点发病动物种类、发病数量、死亡数量，收集相关信息。搜索疫区和受威胁区可疑病例，寻找首发病例，查明发病顺序。调查疫点、疫区、受威胁区及当地所有易感动物养殖情况、免疫情况及环境状况，分析疫情潜在扩散范围。</w:t>
      </w:r>
      <w:bookmarkStart w:id="125" w:name="_Toc7724"/>
      <w:bookmarkStart w:id="126" w:name="_Toc7357"/>
    </w:p>
    <w:p w14:paraId="4B18030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3.4.2追踪调查</w:t>
      </w:r>
      <w:bookmarkEnd w:id="125"/>
      <w:bookmarkEnd w:id="126"/>
    </w:p>
    <w:p w14:paraId="714AF06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对首发病例出现前最长潜伏期内以及疫情发生后采取隔离措施前，从疫点输出的易感动物、风险物品、运载工具及密切接触人员进行追踪调查，对有流行病学关联的养殖、屠宰加工场所进行采样检测，评估疫情扩散风险。</w:t>
      </w:r>
    </w:p>
    <w:p w14:paraId="19F585B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宋体" w:cs="Times New Roman"/>
          <w:b w:val="0"/>
          <w:bCs w:val="0"/>
          <w:color w:val="000000" w:themeColor="text1"/>
          <w:spacing w:val="16"/>
          <w:sz w:val="31"/>
          <w:szCs w:val="31"/>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疫情追踪调查过程中发现异常情况的，应根据风险分析情况及时采取隔离观察、抽样检测等处置措施。</w:t>
      </w:r>
    </w:p>
    <w:p w14:paraId="4155969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27" w:name="_Toc28553"/>
      <w:bookmarkStart w:id="128" w:name="_Toc29311"/>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3.4.3溯源调查</w:t>
      </w:r>
      <w:bookmarkEnd w:id="127"/>
      <w:bookmarkEnd w:id="128"/>
    </w:p>
    <w:p w14:paraId="0915783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对首发病例出现前最长潜伏期内，引入疫点的所有易感动物、风险物品、运载工具和人员进出情况等进行溯源调查，对有流行病学关联的相关场所、物料、运载工具等进行采样检测，分析疫情来源。</w:t>
      </w:r>
    </w:p>
    <w:p w14:paraId="0319174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29" w:name="_Toc81591358"/>
      <w:bookmarkStart w:id="130" w:name="_Toc31816"/>
      <w:bookmarkStart w:id="131" w:name="_Toc31362"/>
      <w:bookmarkStart w:id="132" w:name="_Toc7214"/>
      <w:bookmarkStart w:id="133" w:name="_Toc8704"/>
      <w:bookmarkStart w:id="134" w:name="_Toc5963"/>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3.5紧急监测</w:t>
      </w:r>
      <w:bookmarkEnd w:id="129"/>
      <w:bookmarkEnd w:id="130"/>
      <w:bookmarkEnd w:id="131"/>
      <w:bookmarkEnd w:id="132"/>
      <w:bookmarkEnd w:id="133"/>
      <w:bookmarkEnd w:id="134"/>
    </w:p>
    <w:p w14:paraId="2FC8662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如果发生疫情</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立即对所有相关养殖场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户</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展紧急监测排查，对重点区域、关键环节和异常死亡的易感动物加大监测力度，及时发现疫情隐患；加大对动物交易场所、屠宰场所、无害化处理场的巡查力度，有针对性地开展监测。高度关注易感动物异常死亡情况，指导动物养殖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户</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加强生物安全管理。</w:t>
      </w:r>
    </w:p>
    <w:p w14:paraId="23626A0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紧急监测中发现异常情况的，必须按规定立即采取隔离观察、抽样检测等处置措施。</w:t>
      </w:r>
    </w:p>
    <w:p w14:paraId="7752D0F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35" w:name="_Toc21944"/>
      <w:bookmarkStart w:id="136" w:name="_Toc15447"/>
      <w:bookmarkStart w:id="137" w:name="_Toc11005"/>
      <w:bookmarkStart w:id="138" w:name="_Toc2014489388"/>
      <w:bookmarkStart w:id="139" w:name="_Toc24632"/>
      <w:bookmarkStart w:id="140" w:name="_Toc6328"/>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3.6风险评估</w:t>
      </w:r>
      <w:bookmarkEnd w:id="135"/>
      <w:bookmarkEnd w:id="136"/>
      <w:bookmarkEnd w:id="137"/>
      <w:bookmarkEnd w:id="138"/>
      <w:bookmarkEnd w:id="139"/>
      <w:bookmarkEnd w:id="140"/>
    </w:p>
    <w:p w14:paraId="6B34104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根据动物疫病监测情况和疫情发生、发展规律和特点，结合动物饲养、流通、屠宰和动物产品生产、经营等特点，组织开展风险评估，分析疫情危害程度、可能的发展趋势等。疫情涉及人畜共患传染病或者野生动物疫病时，应当会同卫生健康、林业等部门开展风险评估。动物疫情风险评估包括传入和扩散风险评估，风险等级分为低风险、中风险和高风险等级。根据动物疫情风险等级，发布相应级别的预警，并实施和调整动物疫病防控措施。</w:t>
      </w:r>
    </w:p>
    <w:p w14:paraId="0DE50BCA">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0"/>
        <w:rPr>
          <w:rFonts w:hint="default" w:ascii="Times New Roman" w:hAnsi="Times New Roman" w:eastAsia="黑体" w:cs="Times New Roman"/>
          <w:b w:val="0"/>
          <w:bCs w:val="0"/>
          <w:color w:val="000000" w:themeColor="text1"/>
          <w:sz w:val="31"/>
          <w:szCs w:val="31"/>
          <w14:textFill>
            <w14:solidFill>
              <w14:schemeClr w14:val="tx1"/>
            </w14:solidFill>
          </w14:textFill>
        </w:rPr>
      </w:pPr>
      <w:bookmarkStart w:id="141" w:name="_Toc27862"/>
      <w:bookmarkStart w:id="142" w:name="_Toc9159"/>
      <w:bookmarkStart w:id="143" w:name="_Toc15453"/>
      <w:bookmarkStart w:id="144" w:name="_Toc10297"/>
      <w:bookmarkStart w:id="145" w:name="_Toc1045823775"/>
      <w:bookmarkStart w:id="146" w:name="_Toc25048"/>
      <w:bookmarkStart w:id="147" w:name="_Toc21625"/>
      <w: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t>4动物疫情应急响应</w:t>
      </w:r>
      <w:bookmarkEnd w:id="141"/>
      <w:bookmarkEnd w:id="142"/>
      <w:bookmarkEnd w:id="143"/>
      <w:bookmarkEnd w:id="144"/>
      <w:bookmarkEnd w:id="145"/>
      <w:bookmarkEnd w:id="146"/>
      <w:bookmarkEnd w:id="147"/>
    </w:p>
    <w:p w14:paraId="65EA8F8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48" w:name="_Toc11830"/>
      <w:bookmarkStart w:id="149" w:name="_Toc12845"/>
      <w:bookmarkStart w:id="150" w:name="_Toc916"/>
      <w:bookmarkStart w:id="151" w:name="_Toc17796"/>
      <w:bookmarkStart w:id="152" w:name="_Toc440615584"/>
      <w:bookmarkStart w:id="153" w:name="_Toc25967"/>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4.1突发重大动物疫情分级</w:t>
      </w:r>
      <w:bookmarkEnd w:id="148"/>
      <w:bookmarkEnd w:id="149"/>
      <w:bookmarkEnd w:id="150"/>
      <w:bookmarkEnd w:id="151"/>
      <w:bookmarkEnd w:id="152"/>
      <w:bookmarkEnd w:id="153"/>
    </w:p>
    <w:p w14:paraId="57E67EB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宋体" w:cs="Times New Roman"/>
          <w:b w:val="0"/>
          <w:bCs w:val="0"/>
          <w:color w:val="000000" w:themeColor="text1"/>
          <w:spacing w:val="16"/>
          <w:sz w:val="31"/>
          <w:szCs w:val="31"/>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根据突发重大动物疫情的流行特点、发展态势、危害程度和涉及范围，将突发重大动物疫情由高到低划分为特别重大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I级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、重大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Ⅱ级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、较大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Ⅲ级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和一般</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IV级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四个级别。</w:t>
      </w:r>
    </w:p>
    <w:p w14:paraId="4BDDCF8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54" w:name="_Toc13827"/>
      <w:bookmarkStart w:id="155" w:name="_Toc27372"/>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4.1.1特别重大突发动物疫情</w:t>
      </w:r>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I级</w:t>
      </w:r>
      <w:bookmarkEnd w:id="154"/>
      <w:bookmarkEnd w:id="155"/>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p>
    <w:p w14:paraId="705A5FC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高致病性禽流感：在21日内，我省和相邻省份有10个以上县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发生疫情；或在我省范围内有20个以上县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发生或者10个以上县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连片发生疫情；或在我省及其他邻近数省份呈多发态势。</w:t>
      </w:r>
    </w:p>
    <w:p w14:paraId="1F2FCD6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口蹄疫：在14日内，包括我省在内的5个以上省连片发生疫情；或我省20个以上县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连片发生或疫点数达到30个以上。</w:t>
      </w:r>
    </w:p>
    <w:p w14:paraId="27FB6DC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非洲猪瘟：在21日内，新发疫情持续增加、快速扩散，包括我省在内的多数省份发生疫情，对生猪产业发展和经济社会运行构成严重威胁。</w:t>
      </w:r>
    </w:p>
    <w:p w14:paraId="308DEBA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小反刍兽疫：在21日内，包括我省在内的2个以上省份发生疫情；或我省有3个以上设区市发生疫情。</w:t>
      </w:r>
    </w:p>
    <w:p w14:paraId="755BFB8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农业农村部认定的其他特别重大突发动物疫情和特殊情况需要启动I级应急响应的疫情。</w:t>
      </w:r>
      <w:bookmarkStart w:id="156" w:name="_Toc1374"/>
      <w:bookmarkStart w:id="157" w:name="_Toc23164"/>
    </w:p>
    <w:p w14:paraId="392597A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4.1.2重大突发动物疫情</w:t>
      </w:r>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Ⅱ级</w:t>
      </w:r>
      <w:bookmarkEnd w:id="156"/>
      <w:bookmarkEnd w:id="157"/>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p>
    <w:p w14:paraId="13A892A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高致病性禽流感：在21日内，我省相邻省份的相邻区域有10个以下区县发生疫情；或者在我省有2个以上设区市连片发生疫情；或者在我省有20个以上疫点或者有5个以上10个以下县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连片发生疫情。</w:t>
      </w:r>
    </w:p>
    <w:p w14:paraId="69E3954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口蹄疫：在14日内，我省有2个以上相邻设区市的相邻区域或者有5个以上县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发生疫情；或有新的口蹄疫亚型病毒引发的疫情。</w:t>
      </w:r>
    </w:p>
    <w:p w14:paraId="3A1FFB8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非洲猪瘟：在21日内，包括我省在内的5个以上省份发生非洲猪瘟疫情，疫区集中连片，且疫情有进一步扩散趋势。</w:t>
      </w:r>
    </w:p>
    <w:p w14:paraId="78C9241D">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小反刍兽疫：在我省有2个以上相邻设区市的相邻区域，或者5个以上县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发生疫情。</w:t>
      </w:r>
    </w:p>
    <w:p w14:paraId="13A90D8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在一个平均潜伏期内，布鲁氏菌病、结核病、狂犬病、炭疽、猪链球菌病等二类动物疫病在我省呈暴发流行，波及3个以上设区市</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或者其中的人畜共患病发生感染人的病例，并有继续扩散趋势。</w:t>
      </w:r>
    </w:p>
    <w:p w14:paraId="161492B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6</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高致病性禽流感、口蹄疫、炭疽等高致病性病原微生物菌种、毒种发生丢失。</w:t>
      </w:r>
    </w:p>
    <w:p w14:paraId="714C3A7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宋体" w:cs="Times New Roman"/>
          <w:b w:val="0"/>
          <w:bCs w:val="0"/>
          <w:color w:val="000000" w:themeColor="text1"/>
          <w:spacing w:val="10"/>
          <w:sz w:val="31"/>
          <w:szCs w:val="31"/>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7</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农业农村部或省农业农村厅认定的其他重大突发动物疫情和特殊情况需要启动Ⅱ级应急响应的疫情。</w:t>
      </w:r>
    </w:p>
    <w:p w14:paraId="3517292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58" w:name="_Toc20107"/>
      <w:bookmarkStart w:id="159" w:name="_Toc26082"/>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4.1.3较大突发动物疫情</w:t>
      </w:r>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Ⅲ级</w:t>
      </w:r>
      <w:bookmarkEnd w:id="158"/>
      <w:bookmarkEnd w:id="159"/>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p>
    <w:p w14:paraId="4E3BF89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高致病性禽流感：在21日内，我市有2个以上5个以下区县发生疫情；或者1个区县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内疫点数达到5个以上10个以下。</w:t>
      </w:r>
    </w:p>
    <w:p w14:paraId="51BDAC5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口蹄疫：在14日内，我市有2个以上区县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发生疫情，或者疫点数达到5个以上。</w:t>
      </w:r>
    </w:p>
    <w:p w14:paraId="53B5C43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非洲猪瘟：在21天内，包括我市在内的4个以上、9个以下省份发生疫情，或者在与我省相邻的3个省份发生疫情，且疫情有进一步扩散趋势时。</w:t>
      </w:r>
    </w:p>
    <w:p w14:paraId="7C4B356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小反刍兽疫：在21日内，我市有2个以上区县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发生疫情或者疫点数达到5个以上。</w:t>
      </w:r>
    </w:p>
    <w:p w14:paraId="2872A98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在一个平均潜伏期内，我市有5个以上区县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发生布鲁氏菌病、结核病、狂犬病、炭疽等二类动物疫病暴发流行。</w:t>
      </w:r>
    </w:p>
    <w:p w14:paraId="33310D8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6</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市级以上农业农村部门认定的其他较大突发动物疫情和特殊情况需要启动Ⅲ级应急响应的疫情。</w:t>
      </w:r>
    </w:p>
    <w:p w14:paraId="71D8ABC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60" w:name="_Toc19370"/>
      <w:bookmarkStart w:id="161" w:name="_Toc5106"/>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4.1.4一般突发动物疫情</w:t>
      </w:r>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IV级</w:t>
      </w:r>
      <w:bookmarkEnd w:id="160"/>
      <w:bookmarkEnd w:id="161"/>
      <w:r>
        <w:rPr>
          <w:rFonts w:hint="eastAsia"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w:t>
      </w:r>
    </w:p>
    <w:p w14:paraId="3055971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高致病性禽流感：在21日内，我区有1个街道发生疫情；日常监测中，我区虽未发生禽只异常死亡病例，但多点检出高致病性禽流感病原学阳性。</w:t>
      </w:r>
    </w:p>
    <w:p w14:paraId="22E062B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口蹄疫：在14日内，我区有1个街道发生疫情。</w:t>
      </w:r>
    </w:p>
    <w:p w14:paraId="686E5D9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非洲猪瘟：在21天内，我区在内的4个以下省份发生疫情。</w:t>
      </w:r>
    </w:p>
    <w:p w14:paraId="2D0353F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小反刍兽疫：在21日内，我区有1个街道发生疫情。</w:t>
      </w:r>
    </w:p>
    <w:p w14:paraId="3B13296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二、三类动物疫病在我区呈暴发流行。</w:t>
      </w:r>
    </w:p>
    <w:p w14:paraId="3B343FED">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6</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区农业农村局认定的其他一般突发动物疫情和特殊情况需要启动IV级应急响应的疫情。</w:t>
      </w:r>
    </w:p>
    <w:p w14:paraId="6A2ECBD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62" w:name="_Toc21528"/>
      <w:bookmarkStart w:id="163" w:name="_Toc10472"/>
      <w:bookmarkStart w:id="164" w:name="_Toc20012"/>
      <w:bookmarkStart w:id="165" w:name="_Toc9158"/>
      <w:bookmarkStart w:id="166" w:name="_Toc10290"/>
      <w:bookmarkStart w:id="167" w:name="_Toc1044881975"/>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4.2突发重大动物疫情分级响应</w:t>
      </w:r>
      <w:bookmarkEnd w:id="162"/>
      <w:bookmarkEnd w:id="163"/>
      <w:bookmarkEnd w:id="164"/>
      <w:bookmarkEnd w:id="165"/>
      <w:bookmarkEnd w:id="166"/>
      <w:bookmarkEnd w:id="167"/>
    </w:p>
    <w:p w14:paraId="3E94E99A">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发生动物疫情时，各有关部门、各街办按照分级响应的原则作出应急响应。</w:t>
      </w:r>
    </w:p>
    <w:p w14:paraId="4BCABB2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动物疫情应急处理要采取边调查、边处理、边核实的方式，有效控制疫情发展。未发生重大动物疫情的街办接到疫情通报后，要组织做好人员、物资等应急准备工作，采取必要的预防控制措施，防止重大动物疫情在该街办内发生，并服从区动物疫情应急指挥部的统一指挥，支援发生重大动物疫情街办的应急处理工作。</w:t>
      </w:r>
    </w:p>
    <w:p w14:paraId="2EDB2DFA">
      <w:pPr>
        <w:keepNext w:val="0"/>
        <w:keepLines w:val="0"/>
        <w:pageBreakBefore w:val="0"/>
        <w:widowControl w:val="0"/>
        <w:kinsoku/>
        <w:wordWrap/>
        <w:overflowPunct w:val="0"/>
        <w:topLinePunct w:val="0"/>
        <w:autoSpaceDE/>
        <w:autoSpaceDN/>
        <w:bidi w:val="0"/>
        <w:adjustRightInd/>
        <w:snapToGrid/>
        <w:spacing w:line="600" w:lineRule="exact"/>
        <w:ind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68" w:name="_Toc24760"/>
      <w:bookmarkStart w:id="169" w:name="_Toc7363"/>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4.2.1I级响应</w:t>
      </w:r>
      <w:bookmarkEnd w:id="168"/>
      <w:bookmarkEnd w:id="169"/>
    </w:p>
    <w:p w14:paraId="2199E3C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农业农村部根据疫情形势和风险评估结果，报请国务院启动Ⅰ级应急响应，启动国家应急指挥机构；或者经国务院授权，由农业农村部启动Ⅰ级应急响应，并牵头启动多部门组成的应急指挥机构。</w:t>
      </w:r>
    </w:p>
    <w:p w14:paraId="35B8829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Ⅰ级应急响应涉及我区，临潼区人民政府立即启动应急指挥机构，实施防控工作日报告制度。区政府及其有关部门在国家、省、市应急指挥机构的统一领导和指挥下，根据动物疫情应急处置工作需要组建现场指挥部，组织开展紧急流行病学调查和应急监测等工作。对发现的疫情及时采取应急处置措施。</w:t>
      </w:r>
    </w:p>
    <w:p w14:paraId="10FF747B">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1）区人民政府</w:t>
      </w:r>
    </w:p>
    <w:p w14:paraId="6ACC53DD">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a.组织有关部门参与特别重大突发动物疫情的处置。</w:t>
      </w:r>
    </w:p>
    <w:p w14:paraId="5DBE0DAA">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b.根据特别重大突发动物疫情处理需要，调集本行政区域内人员、物资、交通工具和相关设施、设备，以及临时征用房屋、场所、交通工具等，确定无害化处理地点，参加应急处置工作。</w:t>
      </w:r>
    </w:p>
    <w:p w14:paraId="61039E0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c.发布封锁令，对疫区实施封锁。封锁疫区涉及跨区的，以及封锁疫区导致中断干线交通的，向市人民政府、省人民政府汇报，由省人民政府决定是否实施封锁。</w:t>
      </w:r>
    </w:p>
    <w:p w14:paraId="3234409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d.在本行政区域内采取限制或者停止动物及动物产品交易、扑杀染疫或相关动物并无害化处理，封闭被动物病原污染的公共饮用水源等紧急措施。</w:t>
      </w:r>
    </w:p>
    <w:p w14:paraId="2DD1EF12">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e.组织区交通运输局、区农业农村局、公安分局等部门依法在交通站点设置临时动物防疫检查站，对进出疫区、出入境的交通工具进行检查和消毒。</w:t>
      </w:r>
    </w:p>
    <w:p w14:paraId="372C5A95">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f.落实疫情处置日报告制度。按照规定做好信息发布工作，信息发布要做到及时主动，准确把握，规范有序，注重社会效果。</w:t>
      </w:r>
    </w:p>
    <w:p w14:paraId="6A89E438">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g.组织各街办、村委会</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社区），开展群防群控。</w:t>
      </w:r>
    </w:p>
    <w:p w14:paraId="4377B42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h.组织区发改委、区工业信息化和商务局、区市场监管局、公安分局等有关部门保障商品供应，平抑物价，加强市场相关动物、动物产品经营管理和经营场所消毒等工作，严厉打击造谣传谣、制假售假等违法犯罪和扰乱社会治安的行为，维护社会稳定。</w:t>
      </w:r>
    </w:p>
    <w:p w14:paraId="7D4D276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2）区农业农村局</w:t>
      </w:r>
    </w:p>
    <w:p w14:paraId="5C6D74DC">
      <w:pPr>
        <w:pStyle w:val="2"/>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pP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组织区动物疾病预防控制中心、区畜牧兽医技术推广中心和区农业综合行政执法大队开展突发动物疫情调查与处理，划定疫点、疫区、受威胁区。根据需要组织开展紧急免疫和预防用药。组织专家组对突发动物疫情的处理情况进行综合评估，内容包括疫情基本情况、现场调查情况、疫源追踪情况以及对扑杀动物、无害化处理、消毒、紧急免疫等措施落实情况效果评价，提出解除疫情封锁的建议。</w:t>
      </w:r>
    </w:p>
    <w:p w14:paraId="6490648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3）区动物疾病预防控制中心</w:t>
      </w:r>
    </w:p>
    <w:p w14:paraId="4B4035AE">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做好突发特别重大动物疫情的信息收集、报告与分析工作，向区农业农村局提出防控建议。组织疫病诊断和流行病学调查，向区农业农村局报告结果，提出并实施有针对性的防控措施。按规定采集病料送相关兽医实验室检测。承担突发特别重大动物疫情监测、诊断和紧急流行病学调查的技术培训任务。</w:t>
      </w:r>
    </w:p>
    <w:p w14:paraId="07AC4A3D">
      <w:pPr>
        <w:keepNext w:val="0"/>
        <w:keepLines w:val="0"/>
        <w:pageBreakBefore w:val="0"/>
        <w:widowControl w:val="0"/>
        <w:numPr>
          <w:ilvl w:val="0"/>
          <w:numId w:val="0"/>
        </w:numPr>
        <w:kinsoku/>
        <w:wordWrap/>
        <w:overflowPunct w:val="0"/>
        <w:topLinePunct w:val="0"/>
        <w:autoSpaceDE/>
        <w:autoSpaceDN/>
        <w:bidi w:val="0"/>
        <w:adjustRightInd/>
        <w:snapToGrid/>
        <w:spacing w:line="600" w:lineRule="exact"/>
        <w:ind w:right="0" w:rightChars="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4）区畜牧兽医技术推广中心</w:t>
      </w:r>
    </w:p>
    <w:p w14:paraId="36B0652C">
      <w:pPr>
        <w:keepNext w:val="0"/>
        <w:keepLines w:val="0"/>
        <w:pageBreakBefore w:val="0"/>
        <w:widowControl w:val="0"/>
        <w:numPr>
          <w:ilvl w:val="0"/>
          <w:numId w:val="0"/>
        </w:numPr>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按照《动物防疫法》《重大动物疫情应急条例》等规定，严格规范监督重大动物疫情的封锁、扑杀、消毒和无害化处理等应急处置工作；做好疫点、疫区、受威胁区内动物检疫和调运监管工作；配合做好疫情的溯源和流行病学调查等相关工作。</w:t>
      </w:r>
    </w:p>
    <w:p w14:paraId="39B3D860">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5）区农业综合执法大队</w:t>
      </w:r>
    </w:p>
    <w:p w14:paraId="32945B06">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负责查处相关违法违规行为，做好疫情处置相关法律法规宣贯工作。</w:t>
      </w:r>
    </w:p>
    <w:p w14:paraId="5B2A2380">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6）应急指挥机构各成员单位按照职责分工做好疫情应急处置工作。</w:t>
      </w:r>
    </w:p>
    <w:p w14:paraId="764C355E">
      <w:pPr>
        <w:keepNext w:val="0"/>
        <w:keepLines w:val="0"/>
        <w:pageBreakBefore w:val="0"/>
        <w:widowControl w:val="0"/>
        <w:kinsoku/>
        <w:wordWrap/>
        <w:overflowPunct w:val="0"/>
        <w:topLinePunct w:val="0"/>
        <w:autoSpaceDE/>
        <w:autoSpaceDN/>
        <w:bidi w:val="0"/>
        <w:adjustRightInd/>
        <w:snapToGrid/>
        <w:spacing w:line="600" w:lineRule="exact"/>
        <w:ind w:right="0" w:firstLine="664" w:firstLineChars="200"/>
        <w:jc w:val="both"/>
        <w:outlineLvl w:val="4"/>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70" w:name="_Toc30719"/>
      <w:bookmarkStart w:id="171" w:name="_Toc15854"/>
      <w:bookmarkStart w:id="172" w:name="_Toc14442"/>
      <w:bookmarkStart w:id="173" w:name="_Toc29707"/>
      <w:bookmarkStart w:id="174" w:name="_Toc32514"/>
      <w:bookmarkStart w:id="175" w:name="_Toc20165"/>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4.2.2Ⅱ级响应</w:t>
      </w:r>
      <w:bookmarkEnd w:id="170"/>
      <w:bookmarkEnd w:id="171"/>
      <w:bookmarkEnd w:id="172"/>
      <w:bookmarkEnd w:id="173"/>
      <w:bookmarkEnd w:id="174"/>
      <w:bookmarkEnd w:id="175"/>
    </w:p>
    <w:p w14:paraId="4CDAB9E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省农业农村厅根据疫情形势和风险评估结果，报请省人民政府启动Ⅱ级应急响应，启动省级应急指挥机构，并牵头启动多部门组成的应急指挥机构。</w:t>
      </w:r>
    </w:p>
    <w:p w14:paraId="0F56A55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省人民政府启动Ⅱ级应急响应后，疫情涉及我区，区人民政府立即启动应急指挥机构工作，实施防控工作日报告制度。区政府及其有关部门在省、市应急指挥机构的统一领导和指挥下，根据动物疫情应急处置工作需要组建现场指挥部，组织开展紧急流行病学调查和应急监测工作。对发现的疫情及时采取应急处置措施。各有关部门按照职责分工共同做好疫情防控工作。</w:t>
      </w:r>
    </w:p>
    <w:p w14:paraId="09D0CB3E">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1）区人民政府</w:t>
      </w:r>
    </w:p>
    <w:p w14:paraId="23A3150B">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a.发布封锁令，对疫区实施封锁；依法设置临时动物防疫检查站查堵疫源；紧急调集各种应急处理物资、交通工具等相关设施设备；确定病死畜禽无害化处理地点，采取限制或停止动物及动物产品交易、扑杀染疫或相关动物并无害化处理，封闭被动物疫源污染的公共饮用水源等应急措施。</w:t>
      </w:r>
    </w:p>
    <w:p w14:paraId="49CB831B">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b.落实疫情处置日报告制度。按照规定做好信息发布工作，信息发布要做到及时主动，准确把握，规范有序，注重社会效果。</w:t>
      </w:r>
    </w:p>
    <w:p w14:paraId="6B02EDF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c.组织街办、村委会</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社区），开展群防群控。</w:t>
      </w:r>
    </w:p>
    <w:p w14:paraId="1C8120F3">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d.组织区发改委、区工业信息化和商务局、区市场监管局、公安分局等有关部门保障商品供应，平抑物价，加强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场相关动物、动物产品经营管理和经营场所消毒等工作，严厉打击造谣传谣、制假售假等违法犯罪和扰乱社会治安的行为，维护社会稳定。</w:t>
      </w:r>
    </w:p>
    <w:p w14:paraId="304BE50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2）区农业农村局</w:t>
      </w:r>
    </w:p>
    <w:p w14:paraId="0C949DB2">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宋体" w:cs="Times New Roman"/>
          <w:b w:val="0"/>
          <w:bCs w:val="0"/>
          <w:color w:val="000000" w:themeColor="text1"/>
          <w:spacing w:val="27"/>
          <w:sz w:val="31"/>
          <w:szCs w:val="31"/>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组织</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区动物疾病预防控制中心、区畜牧兽医技术推广中心和区农业综合行政执法大队</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展突发动物疫情调查与处理，划定疫点、疫区、受威胁区。根据需要组织开展紧急免疫和预防用药。组织专家组对突发动物疫情的处理情况进行综合评估，内容包括疫情基本情况、现场调查情况、疫源追踪情况以及对扑杀动物、无害化处理、消毒、紧急免疫等措施落实情况效果评价，提出解除疫情封锁的建议</w:t>
      </w:r>
      <w:r>
        <w:rPr>
          <w:rFonts w:hint="default" w:ascii="Times New Roman" w:hAnsi="Times New Roman" w:eastAsia="宋体" w:cs="Times New Roman"/>
          <w:b w:val="0"/>
          <w:bCs w:val="0"/>
          <w:color w:val="000000" w:themeColor="text1"/>
          <w:spacing w:val="27"/>
          <w:sz w:val="31"/>
          <w:szCs w:val="31"/>
          <w:lang w:val="en-US" w:eastAsia="zh-CN"/>
          <w14:textFill>
            <w14:solidFill>
              <w14:schemeClr w14:val="tx1"/>
            </w14:solidFill>
          </w14:textFill>
        </w:rPr>
        <w:t>。</w:t>
      </w:r>
    </w:p>
    <w:p w14:paraId="59ADEB30">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3）区动物疫情应急指挥部各成员单位按照职责分工做好疫情应急处置工作。</w:t>
      </w:r>
    </w:p>
    <w:p w14:paraId="596A4CE2">
      <w:pPr>
        <w:keepNext w:val="0"/>
        <w:keepLines w:val="0"/>
        <w:pageBreakBefore w:val="0"/>
        <w:widowControl w:val="0"/>
        <w:kinsoku/>
        <w:wordWrap/>
        <w:overflowPunct w:val="0"/>
        <w:topLinePunct w:val="0"/>
        <w:autoSpaceDE/>
        <w:autoSpaceDN/>
        <w:bidi w:val="0"/>
        <w:adjustRightInd/>
        <w:snapToGrid/>
        <w:spacing w:line="600" w:lineRule="exact"/>
        <w:ind w:right="0" w:firstLine="664" w:firstLineChars="200"/>
        <w:jc w:val="both"/>
        <w:outlineLvl w:val="4"/>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76" w:name="_Toc32343"/>
      <w:bookmarkStart w:id="177" w:name="_Toc26142"/>
      <w:bookmarkStart w:id="178" w:name="_Toc32324"/>
      <w:bookmarkStart w:id="179" w:name="_Toc20377"/>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4.2.3Ⅲ级响应</w:t>
      </w:r>
      <w:bookmarkEnd w:id="176"/>
      <w:bookmarkEnd w:id="177"/>
      <w:bookmarkEnd w:id="178"/>
      <w:bookmarkEnd w:id="179"/>
    </w:p>
    <w:p w14:paraId="1B1B1CD2">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市农业农村局根据疫情形势和风险评估结果，报请市人民政府启动Ⅲ级应急响应，启动应急指挥机构，并牵头启动多部门组成的应急处置机构。</w:t>
      </w:r>
    </w:p>
    <w:p w14:paraId="3C8371C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人民政府立即启动Ⅲ级应急响应，并启动应急指挥机构工作，实施防控工作日报告制度，组织开展紧急流行病学调查和应急监测工作。对发现的疫情及时采取应急处置措施。各有关部门按照职责分工共同做好疫情防控工作。</w:t>
      </w:r>
    </w:p>
    <w:p w14:paraId="0E3C087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1）区人民政府</w:t>
      </w:r>
    </w:p>
    <w:p w14:paraId="4854685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临潼区人民政府在市政府和市应急指挥部的统一指挥下，认真履行职责，落实有关控制措施，具体组织实施突发重大动物疫情应急处置工作。组织各街办、村委会</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社区），开展群防群控。</w:t>
      </w:r>
    </w:p>
    <w:p w14:paraId="2FDDC2E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2）区农业农村局</w:t>
      </w:r>
    </w:p>
    <w:p w14:paraId="318FF2F2">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组织区动物疾病预防控制中心、</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区畜牧兽医技术推广中心、</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综合执法大队开展突发动物疫情调查与处理，划定疫点、疫区、受威胁区。根据需要组织开展紧急免疫和预防用药。组织专家组对突发动物疫情的处理情况进行综合评估，内容包括疫情基本情况、现场调查情况、疫源追踪情况以及对扑杀动物、无害化处理、消毒、紧急免疫等措施落实情况效果评价，提出解除疫情封锁的建议。</w:t>
      </w:r>
    </w:p>
    <w:p w14:paraId="7C5A3F2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3）区动物疾病预防控制中心、</w:t>
      </w:r>
      <w:r>
        <w:rPr>
          <w:rFonts w:hint="default" w:ascii="Times New Roman" w:hAnsi="Times New Roman" w:eastAsia="仿宋_GB2312" w:cs="Times New Roman"/>
          <w:b w:val="0"/>
          <w:bCs w:val="0"/>
          <w:snapToGrid w:val="0"/>
          <w:color w:val="000000" w:themeColor="text1"/>
          <w:spacing w:val="-4"/>
          <w:kern w:val="0"/>
          <w:sz w:val="32"/>
          <w:szCs w:val="32"/>
          <w:lang w:val="en-US" w:eastAsia="zh-CN"/>
          <w14:textFill>
            <w14:solidFill>
              <w14:schemeClr w14:val="tx1"/>
            </w14:solidFill>
          </w14:textFill>
        </w:rPr>
        <w:t>区畜牧兽医技术推广中心、</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区农业综合执法大队按照较大突发动物疫情应急处置的要求，做好相关工作。</w:t>
      </w:r>
    </w:p>
    <w:p w14:paraId="2F1E532A">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4）区动物疫情应急指挥部各成员单位按照职责分工做好疫情应急处置工作。</w:t>
      </w:r>
    </w:p>
    <w:p w14:paraId="1F9122F4">
      <w:pPr>
        <w:keepNext w:val="0"/>
        <w:keepLines w:val="0"/>
        <w:pageBreakBefore w:val="0"/>
        <w:widowControl w:val="0"/>
        <w:kinsoku/>
        <w:wordWrap/>
        <w:overflowPunct w:val="0"/>
        <w:topLinePunct w:val="0"/>
        <w:autoSpaceDE/>
        <w:autoSpaceDN/>
        <w:bidi w:val="0"/>
        <w:adjustRightInd/>
        <w:snapToGrid/>
        <w:spacing w:line="600" w:lineRule="exact"/>
        <w:ind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180" w:name="_Toc30189"/>
      <w:bookmarkStart w:id="181" w:name="_Toc4475"/>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4.2.4IV级响应</w:t>
      </w:r>
      <w:bookmarkEnd w:id="180"/>
      <w:bookmarkEnd w:id="181"/>
    </w:p>
    <w:p w14:paraId="3B92E2E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临潼区发生一般突发疫情后，区政府立即启动Ⅳ级应急响应，启动应急指挥机构工作，组织开展紧急流行病学调查、应急监测和风险分析，及时采取应急处置措施。组织各成员单位按照职责分工开展应急处置工作。组织各街办、村委会</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社区），开展群防群控。</w:t>
      </w:r>
    </w:p>
    <w:p w14:paraId="74129EC5">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bookmarkStart w:id="182" w:name="_Toc31084"/>
      <w:bookmarkStart w:id="183" w:name="_Toc13123"/>
      <w:bookmarkStart w:id="184" w:name="_Toc26691"/>
      <w:bookmarkStart w:id="185" w:name="_Toc3366"/>
      <w:bookmarkStart w:id="186" w:name="_Toc4258"/>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1）区人民政府</w:t>
      </w:r>
    </w:p>
    <w:p w14:paraId="1A7A277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区人民政府根据区农业农村局的建议，启动Ⅳ级应急预案，组织有关部门开展疫情应急处置工作。</w:t>
      </w:r>
    </w:p>
    <w:p w14:paraId="6CCB283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2）区农业农村局</w:t>
      </w:r>
    </w:p>
    <w:p w14:paraId="3021941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加强对发生疫情区的街办应急处置工作的指导，组织有关专家进行技术指导，必要时可向市农业农村局请求支持。组织有关专家协助开展疫情处置，及时采取预防控制措施，防止疫情扩散蔓延，向相关区县通报情况。</w:t>
      </w:r>
    </w:p>
    <w:p w14:paraId="6F58177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3）公安分局</w:t>
      </w:r>
    </w:p>
    <w:p w14:paraId="011DEE4D">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做好社会治安管理，配合做好疫区封锁、动物及动物产品运载工具检查等工作，严厉打击违法违规调运动物及动物产品和恶意传播动物疫情信息等违法犯罪行为，依法、及时、妥善处置疫情相关突发事件。</w:t>
      </w:r>
    </w:p>
    <w:p w14:paraId="18A2A90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4）区交通运输局</w:t>
      </w:r>
    </w:p>
    <w:p w14:paraId="56686DF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配合在高速公路、国道、省道和高风险的县道、乡道入口设立临时性动物防疫检查站</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点），提供应急处置有关人员以及防治药品、疫苗、样本、应急物资等水路、公路运输保障。</w:t>
      </w:r>
    </w:p>
    <w:p w14:paraId="6304776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5）区动物疾病预防控制中心</w:t>
      </w:r>
    </w:p>
    <w:p w14:paraId="6AFF2E5F">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负责突发重大动物疫病诊断和报告，开展临床诊断和实验室检测，组织现场流行病学调查，加强疫病监测，提供动物疫情应急处置工作技术指导。</w:t>
      </w:r>
    </w:p>
    <w:p w14:paraId="68B8510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6）区畜牧兽医技术推广中心</w:t>
      </w:r>
    </w:p>
    <w:p w14:paraId="1012C26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cs="Times New Roman"/>
          <w:b w:val="0"/>
          <w:bCs w:val="0"/>
          <w:color w:val="000000" w:themeColor="text1"/>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做好疫点、疫区、受威胁区内动物检疫工作、疫区封锁和调运监管、疫情处置和无害化处理等相关工作。</w:t>
      </w:r>
    </w:p>
    <w:p w14:paraId="1C2E37F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7）区农业综合执法大队</w:t>
      </w:r>
    </w:p>
    <w:p w14:paraId="7A76261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负责查处相关违法违规行为，对于涉嫌犯罪的违法行为移交司法部门依法处置。</w:t>
      </w:r>
    </w:p>
    <w:p w14:paraId="3BECB3B5">
      <w:pPr>
        <w:keepNext w:val="0"/>
        <w:keepLines w:val="0"/>
        <w:pageBreakBefore w:val="0"/>
        <w:widowControl w:val="0"/>
        <w:numPr>
          <w:ilvl w:val="0"/>
          <w:numId w:val="0"/>
        </w:numPr>
        <w:kinsoku/>
        <w:wordWrap/>
        <w:overflowPunct w:val="0"/>
        <w:topLinePunct w:val="0"/>
        <w:autoSpaceDE/>
        <w:autoSpaceDN/>
        <w:bidi w:val="0"/>
        <w:adjustRightInd/>
        <w:snapToGrid/>
        <w:spacing w:line="600" w:lineRule="exact"/>
        <w:ind w:right="0" w:rightChars="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8）区动物疫情应急指挥部其他成员单位按照各自职责分工做好疫情应急处置工作。</w:t>
      </w:r>
    </w:p>
    <w:p w14:paraId="6A10F3F7">
      <w:pPr>
        <w:keepNext w:val="0"/>
        <w:keepLines w:val="0"/>
        <w:pageBreakBefore w:val="0"/>
        <w:widowControl w:val="0"/>
        <w:numPr>
          <w:ilvl w:val="0"/>
          <w:numId w:val="0"/>
        </w:numPr>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上述级别应急响应期间，</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要</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严格限制动物由高风险区向低风险区调运，对动物调运实施差异化管理，关闭相关区域的动物交易场所，具体调运监管方案根据区农业农村局的规定执行</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p>
    <w:p w14:paraId="6F5CC66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87" w:name="_Toc1597298351"/>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4.3毗邻区县发生重大动物疫情的应急响应</w:t>
      </w:r>
      <w:bookmarkEnd w:id="182"/>
      <w:bookmarkEnd w:id="183"/>
      <w:bookmarkEnd w:id="184"/>
      <w:bookmarkEnd w:id="185"/>
      <w:bookmarkEnd w:id="186"/>
      <w:bookmarkEnd w:id="187"/>
    </w:p>
    <w:p w14:paraId="576BC6A8">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根据发生疫情的性质、特点、发生区域和发展趋势，分析本区域受波及的可能性和程度，以及按照上级政府或上级突发重大动物疫情防控应急指挥机构的统一部署，防范疫情传入，重点做好以下工作：</w:t>
      </w:r>
    </w:p>
    <w:p w14:paraId="010F9928">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1）密切关注疫情动态，及时获取相关信息。</w:t>
      </w:r>
    </w:p>
    <w:p w14:paraId="61E49D70">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2）组织做好临潼区应急处置所需的人员与物资准备。</w:t>
      </w:r>
    </w:p>
    <w:p w14:paraId="7D8D6FA9">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开展对养殖、运输、屠宰和流通环节的动物疫情监测和防控工作，防止疫病的发生、传入和扩散。涉及野生动物疫情、人畜共患动物疫病的，加强与区秦保局、区卫健局等部门沟通协调，及时掌握疫情信息，按照规定做好疫情的监测和防范等工作。</w:t>
      </w:r>
    </w:p>
    <w:p w14:paraId="4480E8E7">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4）开展动物防疫知识宣传，提高公众防护能力和意识。</w:t>
      </w:r>
    </w:p>
    <w:p w14:paraId="1979761C">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5）按规定做好公路、铁路、航空、水运交通的检疫监督工作。</w:t>
      </w:r>
    </w:p>
    <w:p w14:paraId="6C0A61A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88" w:name="_Toc1556529390"/>
      <w:bookmarkStart w:id="189" w:name="_Toc27568"/>
      <w:bookmarkStart w:id="190" w:name="_Toc9404"/>
      <w:bookmarkStart w:id="191" w:name="_Toc26286"/>
      <w:bookmarkStart w:id="192" w:name="_Toc20785"/>
      <w:bookmarkStart w:id="193" w:name="_Toc6002"/>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4.4应急处置人员的安全防护</w:t>
      </w:r>
      <w:bookmarkEnd w:id="188"/>
      <w:bookmarkEnd w:id="189"/>
      <w:bookmarkEnd w:id="190"/>
      <w:bookmarkEnd w:id="191"/>
      <w:bookmarkEnd w:id="192"/>
      <w:bookmarkEnd w:id="193"/>
    </w:p>
    <w:p w14:paraId="76BACFE0">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针对不同的重大动物疫病，特别是发生一些重大人畜共患病时，按照相关技术规范做好疫情处置人员的安全防护，如穿戴防护服，接种相应的疫苗，定期进行血清学监测等，要确保参与疫情应急处置人员的安全。区卫健局会同区农业农村局加强对动物饲养、扑杀等高风险人员的医学观察。</w:t>
      </w:r>
    </w:p>
    <w:p w14:paraId="717CB09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194" w:name="_Toc6940"/>
      <w:bookmarkStart w:id="195" w:name="_Toc8360"/>
      <w:bookmarkStart w:id="196" w:name="_Toc245"/>
      <w:bookmarkStart w:id="197" w:name="_Toc20442"/>
      <w:bookmarkStart w:id="198" w:name="_Toc27140"/>
      <w:bookmarkStart w:id="199" w:name="_Toc1568949454"/>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4.5突发重大动物疫情应急响应的终止</w:t>
      </w:r>
      <w:bookmarkEnd w:id="194"/>
      <w:bookmarkEnd w:id="195"/>
      <w:bookmarkEnd w:id="196"/>
      <w:bookmarkEnd w:id="197"/>
      <w:bookmarkEnd w:id="198"/>
      <w:bookmarkEnd w:id="199"/>
    </w:p>
    <w:p w14:paraId="65D65D6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突发重大动物疫情应急响应的终止需符合以下条件：疫区内所有的动物及其产品按规定处理后，经过该疫病的至少一个最长潜伏期无新的病例出现。</w:t>
      </w:r>
    </w:p>
    <w:p w14:paraId="3154653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特别重大突发动物疫情由农业农村部对疫情控制情况进行评估，提出终止应急措施的建议，报国务院或全国突发重大动物疫情应急指挥机构批准宣布。</w:t>
      </w:r>
    </w:p>
    <w:p w14:paraId="0ABB9192">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重大突发动物疫情由省农业农村厅对疫情控制情况进行评估，提出终止应急措施的建议，报省人民政府或省重大动物疫情防控应急指挥机构批准宣布，并向农业农村部报告。</w:t>
      </w:r>
    </w:p>
    <w:p w14:paraId="77398DB7">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较大突发动物疫情由市农业农村局对疫情控制情况进行评估，提出终止应急措施的建议，报市人民政府或市应急指挥机构批准后宣布，并向省农业农村厅报告。</w:t>
      </w:r>
    </w:p>
    <w:p w14:paraId="659F37D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一般突发动物疫情由区农业农村局对疫情控制情况进行评估，提出终止应急措施的建议，报请区人民政府应急指挥机构批准后宣布，并向市农业农村局报告。</w:t>
      </w:r>
    </w:p>
    <w:p w14:paraId="043BC1C8">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区农业农村局及时组织专家对突发重大动物疫情应急措施终止的评估提供技术指导和支持。</w:t>
      </w:r>
    </w:p>
    <w:p w14:paraId="6B6EEEC5">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00" w:name="_Toc5113"/>
      <w:bookmarkStart w:id="201" w:name="_Toc1529058731"/>
      <w:bookmarkStart w:id="202" w:name="_Toc7926"/>
      <w:bookmarkStart w:id="203" w:name="_Toc25479"/>
      <w:bookmarkStart w:id="204" w:name="_Toc32137"/>
      <w:bookmarkStart w:id="205" w:name="_Toc3479"/>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4.6响应级别调整</w:t>
      </w:r>
      <w:bookmarkEnd w:id="200"/>
      <w:bookmarkEnd w:id="201"/>
      <w:bookmarkEnd w:id="202"/>
      <w:bookmarkEnd w:id="203"/>
      <w:bookmarkEnd w:id="204"/>
      <w:bookmarkEnd w:id="205"/>
    </w:p>
    <w:p w14:paraId="79362FD4">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根据疫情形势和防控实际，农业农村部、省农业农村厅、市农业农村局组织对疫情形势进行评估分析，及时提出调整响应级别或终止应急响应的建议。由原启动响应机制的人民政府或突发重大疫情应急指挥机构调整响应级别或终止应急响应。</w:t>
      </w:r>
    </w:p>
    <w:p w14:paraId="7606AED7">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0"/>
        <w:rPr>
          <w:rFonts w:hint="default" w:ascii="Times New Roman" w:hAnsi="Times New Roman" w:eastAsia="黑体" w:cs="Times New Roman"/>
          <w:b w:val="0"/>
          <w:bCs w:val="0"/>
          <w:color w:val="000000" w:themeColor="text1"/>
          <w:spacing w:val="1"/>
          <w:sz w:val="32"/>
          <w:szCs w:val="32"/>
          <w14:textFill>
            <w14:solidFill>
              <w14:schemeClr w14:val="tx1"/>
            </w14:solidFill>
          </w14:textFill>
        </w:rPr>
      </w:pPr>
      <w:bookmarkStart w:id="206" w:name="_Toc21422"/>
      <w:bookmarkStart w:id="207" w:name="_Toc27369"/>
      <w:bookmarkStart w:id="208" w:name="_Toc27385"/>
      <w:bookmarkStart w:id="209" w:name="_Toc680982845"/>
      <w:bookmarkStart w:id="210" w:name="_Toc11622"/>
      <w:bookmarkStart w:id="211" w:name="_Toc24425"/>
      <w:bookmarkStart w:id="212" w:name="_Toc1492"/>
      <w: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t>5重大动物疫情预警</w:t>
      </w:r>
      <w:bookmarkEnd w:id="206"/>
      <w:bookmarkEnd w:id="207"/>
      <w:bookmarkEnd w:id="208"/>
      <w:bookmarkEnd w:id="209"/>
      <w:bookmarkEnd w:id="210"/>
      <w:bookmarkEnd w:id="211"/>
      <w:bookmarkEnd w:id="212"/>
    </w:p>
    <w:p w14:paraId="7493455B">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各级农业农村部门根据突发重大动物疫情响应分级，发出疫情预测预警，疫情的预警对应划分为四级，分别为特别严重</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一级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、严重</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二级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、较大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三级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和一般</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四级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四个级别，并依次用红色、橙色、黄色和蓝色表示。区人民政府接到动物疫情预警后，按照属地管理、分级响应的原则，采取相应的预防、控制措施。</w:t>
      </w:r>
    </w:p>
    <w:p w14:paraId="32FAC70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13" w:name="_Toc1656150459"/>
      <w:bookmarkStart w:id="214" w:name="_Toc27581"/>
      <w:bookmarkStart w:id="215" w:name="_Toc29940"/>
      <w:bookmarkStart w:id="216" w:name="_Toc28756"/>
      <w:bookmarkStart w:id="217" w:name="_Toc23633"/>
      <w:bookmarkStart w:id="218" w:name="_Toc7186"/>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5.1特别严重</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一级</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预警</w:t>
      </w:r>
      <w:bookmarkEnd w:id="213"/>
      <w:bookmarkEnd w:id="214"/>
      <w:bookmarkEnd w:id="215"/>
      <w:bookmarkEnd w:id="216"/>
      <w:bookmarkEnd w:id="217"/>
      <w:bookmarkEnd w:id="218"/>
    </w:p>
    <w:p w14:paraId="70C4B63D">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发生特别重大动物疫情应急响应</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I级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）时，</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确定为特别严重</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一级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预警。由农业农村部向发生疫情省份的周边省份及经评估与疫情存在关联的省份发出预警。根据农业农村部预警或疫情发生地省级兽医主管部门的疫情通报，相关省市可启动应急响应，对本省内与疫情省</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或疫情发生地</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交界的毗邻地区、受威胁地区和相关联地区、高风险地区发出预警。接到预警，区人民政府采取相应的防控措施。</w:t>
      </w:r>
    </w:p>
    <w:p w14:paraId="009A546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19" w:name="_Toc2214"/>
      <w:bookmarkStart w:id="220" w:name="_Toc703326477"/>
      <w:bookmarkStart w:id="221" w:name="_Toc17393"/>
      <w:bookmarkStart w:id="222" w:name="_Toc1475"/>
      <w:bookmarkStart w:id="223" w:name="_Toc5902"/>
      <w:bookmarkStart w:id="224" w:name="_Toc15023"/>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5.2严重</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二级</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预警</w:t>
      </w:r>
      <w:bookmarkEnd w:id="219"/>
      <w:bookmarkEnd w:id="220"/>
      <w:bookmarkEnd w:id="221"/>
      <w:bookmarkEnd w:id="222"/>
      <w:bookmarkEnd w:id="223"/>
      <w:bookmarkEnd w:id="224"/>
    </w:p>
    <w:p w14:paraId="141CA68D">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发生重大动物疫情</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Ⅱ级）时，以及高致病性动物病原微生物菌种、毒种发生丢失时，确定为严重</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二级）预警。由省农业农村厅向发生疫情市的周边市或经评估与疫情存在关联的市发出预警。根据省农业农村厅预警或疫情发生地农业农村主管部门的疫情通报，</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相关市区</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可启动应急响应，对行政区域内与疫情市</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或疫情发生地）交界的毗邻区县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开发区）、受威胁区县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开发区）和相关联区县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开发区）、高风险区县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开发区）发出预警，并采取相应的防控措施。接到预警，区人民政府采取相应的防控措施。</w:t>
      </w:r>
    </w:p>
    <w:p w14:paraId="32D017E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25" w:name="_Toc29595"/>
      <w:bookmarkStart w:id="226" w:name="_Toc15879"/>
      <w:bookmarkStart w:id="227" w:name="_Toc3473"/>
      <w:bookmarkStart w:id="228" w:name="_Toc11113"/>
      <w:bookmarkStart w:id="229" w:name="_Toc5683"/>
      <w:bookmarkStart w:id="230" w:name="_Toc610412088"/>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5.3较大</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三级</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预警</w:t>
      </w:r>
      <w:bookmarkEnd w:id="225"/>
      <w:bookmarkEnd w:id="226"/>
      <w:bookmarkEnd w:id="227"/>
      <w:bookmarkEnd w:id="228"/>
      <w:bookmarkEnd w:id="229"/>
      <w:bookmarkEnd w:id="230"/>
    </w:p>
    <w:p w14:paraId="7F38F54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发生较大动物疫情</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Ⅲ级）时，确定为较大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三级）预警。由市农业农村局向发生疫情区县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开发区）的周边区县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开发区）或经评估与疫情存在关联的区县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开发区）发出预警，并采取相应的防控措施。接到预警，区人民政府采取相应的防控措施。</w:t>
      </w:r>
    </w:p>
    <w:p w14:paraId="76E802A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31" w:name="_Toc20751"/>
      <w:bookmarkStart w:id="232" w:name="_Toc1504348081"/>
      <w:bookmarkStart w:id="233" w:name="_Toc27957"/>
      <w:bookmarkStart w:id="234" w:name="_Toc22808"/>
      <w:bookmarkStart w:id="235" w:name="_Toc19594"/>
      <w:bookmarkStart w:id="236" w:name="_Toc2001"/>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5.4一般</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四级</w:t>
      </w:r>
      <w:r>
        <w:rPr>
          <w:rFonts w:hint="eastAsia"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w:t>
      </w:r>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预警</w:t>
      </w:r>
      <w:bookmarkEnd w:id="231"/>
      <w:bookmarkEnd w:id="232"/>
      <w:bookmarkEnd w:id="233"/>
      <w:bookmarkEnd w:id="234"/>
      <w:bookmarkEnd w:id="235"/>
      <w:bookmarkEnd w:id="236"/>
    </w:p>
    <w:p w14:paraId="0E14F35C">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有下列情况之一的，可确定为一般</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四级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预警，由区农业农村局向各街办发出预警，并采取相应的防控措施。</w:t>
      </w:r>
    </w:p>
    <w:p w14:paraId="1980F691">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bookmarkStart w:id="237" w:name="_Toc18135"/>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在监测中发现重大动物疫病或病原学监测阳性样品，</w:t>
      </w:r>
      <w:bookmarkEnd w:id="237"/>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根据流行调查和分析评估，有可能出现疫情暴发流行的。</w:t>
      </w:r>
    </w:p>
    <w:p w14:paraId="0CB34D15">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宋体" w:cs="Times New Roman"/>
          <w:b w:val="0"/>
          <w:bCs w:val="0"/>
          <w:color w:val="000000" w:themeColor="text1"/>
          <w:sz w:val="31"/>
          <w:szCs w:val="31"/>
          <w14:textFill>
            <w14:solidFill>
              <w14:schemeClr w14:val="tx1"/>
            </w14:solidFill>
          </w14:textFill>
        </w:rPr>
      </w:pPr>
      <w:bookmarkStart w:id="238" w:name="_Toc12069"/>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周边区县</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开发区</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发生一般动物疫情</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IV级</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时。</w:t>
      </w:r>
      <w:bookmarkEnd w:id="238"/>
    </w:p>
    <w:p w14:paraId="7CBC9FBB">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0"/>
        <w:rPr>
          <w:rFonts w:hint="default" w:ascii="Times New Roman" w:hAnsi="Times New Roman" w:eastAsia="黑体" w:cs="Times New Roman"/>
          <w:b w:val="0"/>
          <w:bCs w:val="0"/>
          <w:color w:val="000000" w:themeColor="text1"/>
          <w:spacing w:val="1"/>
          <w:sz w:val="32"/>
          <w:szCs w:val="32"/>
          <w14:textFill>
            <w14:solidFill>
              <w14:schemeClr w14:val="tx1"/>
            </w14:solidFill>
          </w14:textFill>
        </w:rPr>
      </w:pPr>
      <w:bookmarkStart w:id="239" w:name="_Toc7275"/>
      <w:bookmarkStart w:id="240" w:name="_Toc5015"/>
      <w:bookmarkStart w:id="241" w:name="_Toc24524"/>
      <w:bookmarkStart w:id="242" w:name="_Toc24035"/>
      <w:bookmarkStart w:id="243" w:name="_Toc6026"/>
      <w:bookmarkStart w:id="244" w:name="_Toc1713025881"/>
      <w:bookmarkStart w:id="245" w:name="_Toc803"/>
      <w: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t>6善后处理</w:t>
      </w:r>
      <w:bookmarkEnd w:id="239"/>
      <w:bookmarkEnd w:id="240"/>
      <w:bookmarkEnd w:id="241"/>
      <w:bookmarkEnd w:id="242"/>
      <w:bookmarkEnd w:id="243"/>
      <w:bookmarkEnd w:id="244"/>
      <w:bookmarkEnd w:id="245"/>
    </w:p>
    <w:p w14:paraId="7F5585E7">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46" w:name="_Toc19079"/>
      <w:bookmarkStart w:id="247" w:name="_Toc22160"/>
      <w:bookmarkStart w:id="248" w:name="_Toc29207"/>
      <w:bookmarkStart w:id="249" w:name="_Toc1406130265"/>
      <w:bookmarkStart w:id="250" w:name="_Toc31508"/>
      <w:bookmarkStart w:id="251" w:name="_Toc2218"/>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6.1后期评估</w:t>
      </w:r>
      <w:bookmarkEnd w:id="246"/>
      <w:bookmarkEnd w:id="247"/>
      <w:bookmarkEnd w:id="248"/>
      <w:bookmarkEnd w:id="249"/>
      <w:bookmarkEnd w:id="250"/>
      <w:bookmarkEnd w:id="251"/>
    </w:p>
    <w:p w14:paraId="41A75EF6">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突发重大动物疫情扑灭后，区农业农村局在区政府的领导下，组织有关单位对突发重大动物疫情的处理情况进行评估。</w:t>
      </w:r>
    </w:p>
    <w:p w14:paraId="5F77DF62">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评估的内容包括：疫情基本情况、疫情发生的经过、现场调查及实验室检测的结果；疫情发生的原因分析、结论；疫情处理经过、采取的防治措施及效果；应急过程中存在的问题与困难，以及针对本次疫情的暴发流行原因、防治工作中存在的问题与困难等，提出改进建议和应对措施。</w:t>
      </w:r>
    </w:p>
    <w:p w14:paraId="2F037665">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宋体" w:cs="Times New Roman"/>
          <w:b w:val="0"/>
          <w:bCs w:val="0"/>
          <w:color w:val="000000" w:themeColor="text1"/>
          <w:sz w:val="31"/>
          <w:szCs w:val="31"/>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评估报告报区政府</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同时抄报市农业农村局。</w:t>
      </w:r>
    </w:p>
    <w:p w14:paraId="3DE91F8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52" w:name="_Toc18"/>
      <w:bookmarkStart w:id="253" w:name="_Toc12436"/>
      <w:bookmarkStart w:id="254" w:name="_Toc250278962"/>
      <w:bookmarkStart w:id="255" w:name="_Toc17322"/>
      <w:bookmarkStart w:id="256" w:name="_Toc18379"/>
      <w:bookmarkStart w:id="257" w:name="_Toc19062"/>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6.2监督检查</w:t>
      </w:r>
      <w:bookmarkEnd w:id="252"/>
      <w:bookmarkEnd w:id="253"/>
      <w:bookmarkEnd w:id="254"/>
      <w:bookmarkEnd w:id="255"/>
      <w:bookmarkEnd w:id="256"/>
      <w:bookmarkEnd w:id="257"/>
    </w:p>
    <w:p w14:paraId="33C86EA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宋体" w:cs="Times New Roman"/>
          <w:b w:val="0"/>
          <w:bCs w:val="0"/>
          <w:color w:val="000000" w:themeColor="text1"/>
          <w:sz w:val="31"/>
          <w:szCs w:val="31"/>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区动物疫情应急指挥部对本《预案》实施的全过程监督检查，及时总结经验和教训，提出解决办法</w:t>
      </w:r>
      <w:r>
        <w:rPr>
          <w:rFonts w:hint="default" w:ascii="Times New Roman" w:hAnsi="Times New Roman" w:eastAsia="宋体" w:cs="Times New Roman"/>
          <w:b w:val="0"/>
          <w:bCs w:val="0"/>
          <w:color w:val="000000" w:themeColor="text1"/>
          <w:spacing w:val="6"/>
          <w:sz w:val="31"/>
          <w:szCs w:val="31"/>
          <w14:textFill>
            <w14:solidFill>
              <w14:schemeClr w14:val="tx1"/>
            </w14:solidFill>
          </w14:textFill>
        </w:rPr>
        <w:t>。</w:t>
      </w:r>
    </w:p>
    <w:p w14:paraId="470CC5A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58" w:name="_Toc135068906"/>
      <w:bookmarkStart w:id="259" w:name="_Toc20865"/>
      <w:bookmarkStart w:id="260" w:name="_Toc25717"/>
      <w:bookmarkStart w:id="261" w:name="_Toc19545"/>
      <w:bookmarkStart w:id="262" w:name="_Toc27085"/>
      <w:bookmarkStart w:id="263" w:name="_Toc29321"/>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6.3表彰奖励</w:t>
      </w:r>
      <w:bookmarkEnd w:id="258"/>
      <w:bookmarkEnd w:id="259"/>
      <w:bookmarkEnd w:id="260"/>
      <w:bookmarkEnd w:id="261"/>
      <w:bookmarkEnd w:id="262"/>
      <w:bookmarkEnd w:id="263"/>
    </w:p>
    <w:p w14:paraId="05A67840">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区人民政府对参加突发重大动物疫情应急处置做出贡献的先进集体和个人，进行表彰和奖励。</w:t>
      </w:r>
    </w:p>
    <w:p w14:paraId="3E1B834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64" w:name="_Toc803000241"/>
      <w:bookmarkStart w:id="265" w:name="_Toc5632"/>
      <w:bookmarkStart w:id="266" w:name="_Toc29495"/>
      <w:bookmarkStart w:id="267" w:name="_Toc10905"/>
      <w:bookmarkStart w:id="268" w:name="_Toc27849"/>
      <w:bookmarkStart w:id="269" w:name="_Toc12013"/>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6.4责任追究</w:t>
      </w:r>
      <w:bookmarkEnd w:id="264"/>
      <w:bookmarkEnd w:id="265"/>
      <w:bookmarkEnd w:id="266"/>
      <w:bookmarkEnd w:id="267"/>
      <w:bookmarkEnd w:id="268"/>
      <w:bookmarkEnd w:id="269"/>
    </w:p>
    <w:p w14:paraId="0EAFC87F">
      <w:pPr>
        <w:keepNext w:val="0"/>
        <w:keepLines w:val="0"/>
        <w:pageBreakBefore w:val="0"/>
        <w:widowControl w:val="0"/>
        <w:kinsoku/>
        <w:wordWrap/>
        <w:overflowPunct w:val="0"/>
        <w:topLinePunct w:val="0"/>
        <w:autoSpaceDE/>
        <w:autoSpaceDN/>
        <w:bidi w:val="0"/>
        <w:adjustRightInd/>
        <w:snapToGrid/>
        <w:spacing w:line="600" w:lineRule="exact"/>
        <w:ind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对在突发重大动物疫情的预防、报告、调查、控制和处理过程中，发现违反有关法律法规行为的，以及国家工作人员有玩忽职守、失职、渎职等违法违纪行为的，依法、依规、依纪严肃追究当事人的责任。</w:t>
      </w:r>
    </w:p>
    <w:p w14:paraId="4E32599F">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70" w:name="_Toc31796"/>
      <w:bookmarkStart w:id="271" w:name="_Toc990"/>
      <w:bookmarkStart w:id="272" w:name="_Toc26175"/>
      <w:bookmarkStart w:id="273" w:name="_Toc13412"/>
      <w:bookmarkStart w:id="274" w:name="_Toc27718"/>
      <w:bookmarkStart w:id="275" w:name="_Toc825055804"/>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6.5灾害补偿</w:t>
      </w:r>
      <w:bookmarkEnd w:id="270"/>
      <w:bookmarkEnd w:id="271"/>
      <w:bookmarkEnd w:id="272"/>
      <w:bookmarkEnd w:id="273"/>
      <w:bookmarkEnd w:id="274"/>
      <w:bookmarkEnd w:id="275"/>
    </w:p>
    <w:p w14:paraId="3B66866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对在预防、控制和扑灭重大动物疫情过程中被强制扑杀、处置的动物及动物产品，按照重大动物疫病扑杀补偿有关规定，确定数额和等级标准，按程序进行补偿。补偿对象为被依法强制扑杀、处置的动物和动物产品所有者；按照陕西省制定的补偿标准由区财政局会同区农业农村局核定补偿数量，并监督实施。</w:t>
      </w:r>
    </w:p>
    <w:p w14:paraId="26267EF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76" w:name="_Toc29185"/>
      <w:bookmarkStart w:id="277" w:name="_Toc1778022876"/>
      <w:bookmarkStart w:id="278" w:name="_Toc29479"/>
      <w:bookmarkStart w:id="279" w:name="_Toc20124"/>
      <w:bookmarkStart w:id="280" w:name="_Toc31972"/>
      <w:bookmarkStart w:id="281" w:name="_Toc29029"/>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6.6抚恤和补助</w:t>
      </w:r>
      <w:bookmarkEnd w:id="276"/>
      <w:bookmarkEnd w:id="277"/>
      <w:bookmarkEnd w:id="278"/>
      <w:bookmarkEnd w:id="279"/>
      <w:bookmarkEnd w:id="280"/>
      <w:bookmarkEnd w:id="281"/>
    </w:p>
    <w:p w14:paraId="3FAFAEF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宋体" w:cs="Times New Roman"/>
          <w:b w:val="0"/>
          <w:bCs w:val="0"/>
          <w:color w:val="000000" w:themeColor="text1"/>
          <w:sz w:val="31"/>
          <w:szCs w:val="31"/>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区人民政府组织有关部门对因参与动物疫情应急处置工作致病、致残、死亡的人员，按照国家有关规定，给予相应的补助和抚恤</w:t>
      </w:r>
      <w:r>
        <w:rPr>
          <w:rFonts w:hint="default" w:ascii="Times New Roman" w:hAnsi="Times New Roman" w:eastAsia="宋体" w:cs="Times New Roman"/>
          <w:b w:val="0"/>
          <w:bCs w:val="0"/>
          <w:color w:val="000000" w:themeColor="text1"/>
          <w:spacing w:val="3"/>
          <w:sz w:val="31"/>
          <w:szCs w:val="31"/>
          <w14:textFill>
            <w14:solidFill>
              <w14:schemeClr w14:val="tx1"/>
            </w14:solidFill>
          </w14:textFill>
        </w:rPr>
        <w:t>。</w:t>
      </w:r>
    </w:p>
    <w:p w14:paraId="6CA0F9E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82" w:name="_Toc1457867115"/>
      <w:bookmarkStart w:id="283" w:name="_Toc3248"/>
      <w:bookmarkStart w:id="284" w:name="_Toc13148"/>
      <w:bookmarkStart w:id="285" w:name="_Toc8276"/>
      <w:bookmarkStart w:id="286" w:name="_Toc11362"/>
      <w:bookmarkStart w:id="287" w:name="_Toc8367"/>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6.7恢复生产</w:t>
      </w:r>
      <w:bookmarkEnd w:id="282"/>
      <w:bookmarkEnd w:id="283"/>
      <w:bookmarkEnd w:id="284"/>
      <w:bookmarkEnd w:id="285"/>
      <w:bookmarkEnd w:id="286"/>
      <w:bookmarkEnd w:id="287"/>
    </w:p>
    <w:p w14:paraId="25F5CB8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突发重大动物疫情扑灭后，取消贸易限制及流通控制等限制性措施。根据重大动物疫病的特点，对疫点和疫区进行持续消毒、监测和风险评估，符合要求后，方可重新引进动物，恢复畜牧业生产。</w:t>
      </w:r>
    </w:p>
    <w:p w14:paraId="0442D2F1">
      <w:pPr>
        <w:keepNext w:val="0"/>
        <w:keepLines w:val="0"/>
        <w:pageBreakBefore w:val="0"/>
        <w:widowControl w:val="0"/>
        <w:kinsoku/>
        <w:wordWrap/>
        <w:overflowPunct w:val="0"/>
        <w:topLinePunct w:val="0"/>
        <w:autoSpaceDE/>
        <w:autoSpaceDN/>
        <w:bidi w:val="0"/>
        <w:adjustRightInd/>
        <w:snapToGrid/>
        <w:spacing w:line="600" w:lineRule="exact"/>
        <w:ind w:right="0" w:firstLine="644" w:firstLineChars="200"/>
        <w:jc w:val="both"/>
        <w:outlineLvl w:val="0"/>
        <w:rPr>
          <w:rFonts w:hint="default" w:ascii="Times New Roman" w:hAnsi="Times New Roman" w:eastAsia="黑体" w:cs="Times New Roman"/>
          <w:b w:val="0"/>
          <w:bCs w:val="0"/>
          <w:color w:val="000000" w:themeColor="text1"/>
          <w:sz w:val="31"/>
          <w:szCs w:val="31"/>
          <w14:textFill>
            <w14:solidFill>
              <w14:schemeClr w14:val="tx1"/>
            </w14:solidFill>
          </w14:textFill>
        </w:rPr>
      </w:pPr>
      <w:bookmarkStart w:id="288" w:name="_Toc17668"/>
      <w:bookmarkStart w:id="289" w:name="_Toc27562"/>
      <w:bookmarkStart w:id="290" w:name="_Toc21649"/>
      <w:bookmarkStart w:id="291" w:name="_Toc6047"/>
      <w:bookmarkStart w:id="292" w:name="_Toc13779"/>
      <w:bookmarkStart w:id="293" w:name="_Toc14033"/>
      <w:bookmarkStart w:id="294" w:name="_Toc707681806"/>
      <w:r>
        <w:rPr>
          <w:rFonts w:hint="default" w:ascii="Times New Roman" w:hAnsi="Times New Roman" w:eastAsia="黑体" w:cs="Times New Roman"/>
          <w:b w:val="0"/>
          <w:bCs w:val="0"/>
          <w:color w:val="000000" w:themeColor="text1"/>
          <w:spacing w:val="1"/>
          <w:sz w:val="32"/>
          <w:szCs w:val="32"/>
          <w14:textFill>
            <w14:solidFill>
              <w14:schemeClr w14:val="tx1"/>
            </w14:solidFill>
          </w14:textFill>
        </w:rPr>
        <w:t>7应急处置保障</w:t>
      </w:r>
      <w:bookmarkEnd w:id="288"/>
      <w:bookmarkEnd w:id="289"/>
      <w:bookmarkEnd w:id="290"/>
      <w:bookmarkEnd w:id="291"/>
      <w:bookmarkEnd w:id="292"/>
      <w:bookmarkEnd w:id="293"/>
      <w:bookmarkEnd w:id="294"/>
    </w:p>
    <w:p w14:paraId="2875DE5F">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突发重大动物疫情发生后，区人民政府积极组织公安分局、区发改委、区财政局、区交通运输局、区农业农村局、区卫生健康局、区市场监管局、区工业信息化和商务局等部门，做好突发重大动物疫情处理的应急保障工作。</w:t>
      </w:r>
    </w:p>
    <w:p w14:paraId="259DB50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295" w:name="_Toc17338"/>
      <w:bookmarkStart w:id="296" w:name="_Toc24052"/>
      <w:bookmarkStart w:id="297" w:name="_Toc20622"/>
      <w:bookmarkStart w:id="298" w:name="_Toc1074173707"/>
      <w:bookmarkStart w:id="299" w:name="_Toc32468"/>
      <w:bookmarkStart w:id="300" w:name="_Toc17411"/>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7.1应急资源与装备保障</w:t>
      </w:r>
      <w:bookmarkEnd w:id="295"/>
      <w:bookmarkEnd w:id="296"/>
      <w:bookmarkEnd w:id="297"/>
      <w:bookmarkEnd w:id="298"/>
      <w:bookmarkEnd w:id="299"/>
      <w:bookmarkEnd w:id="300"/>
    </w:p>
    <w:p w14:paraId="5EAD316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 w:cs="Times New Roman"/>
          <w:b w:val="0"/>
          <w:bCs w:val="0"/>
          <w:color w:val="000000" w:themeColor="text1"/>
          <w:spacing w:val="6"/>
          <w:sz w:val="32"/>
          <w:szCs w:val="32"/>
          <w:lang w:val="en-US" w:eastAsia="zh-CN"/>
          <w14:textFill>
            <w14:solidFill>
              <w14:schemeClr w14:val="tx1"/>
            </w14:solidFill>
          </w14:textFill>
        </w:rPr>
      </w:pPr>
      <w:bookmarkStart w:id="301" w:name="_Toc20330"/>
      <w:bookmarkStart w:id="302" w:name="_Toc7714"/>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7.1.1应急队伍保障</w:t>
      </w:r>
      <w:bookmarkEnd w:id="301"/>
      <w:bookmarkEnd w:id="302"/>
    </w:p>
    <w:p w14:paraId="15AF92C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突发重大动物疫情应急处理预备队由区突发重大动物疫情防控应急指挥部各有关成员单位工作人员组成，具体实施扑杀、消毒、无害化处理等疫情处置工作，并加强培训，提高队伍素质，确保其正常运行。</w:t>
      </w:r>
    </w:p>
    <w:p w14:paraId="4C00E3E0">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303" w:name="_Toc29010"/>
      <w:bookmarkStart w:id="304" w:name="_Toc29874"/>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7.1.2交通运输保障</w:t>
      </w:r>
      <w:bookmarkEnd w:id="303"/>
      <w:bookmarkEnd w:id="304"/>
    </w:p>
    <w:p w14:paraId="22C750B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区交通运输局应健全道路紧急运输保障体系，突发重大动物疫情发生后，要开设应急防控“绿色通道”</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保证紧急情况下应急交通工具优先安排、优先调度、优先放行。</w:t>
      </w:r>
    </w:p>
    <w:p w14:paraId="04C5575D">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公安分局要优先安排动物疫情应急处置人员的通行，保障紧急防疫物资的调运；加强应急交通管理，保障应急救援车辆优先通行，做好人员疏散路线交通疏导。</w:t>
      </w:r>
    </w:p>
    <w:p w14:paraId="04388AD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305" w:name="_Toc31193"/>
      <w:bookmarkStart w:id="306" w:name="_Toc2900"/>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7.1.3医疗卫生保障</w:t>
      </w:r>
      <w:bookmarkEnd w:id="305"/>
      <w:bookmarkEnd w:id="306"/>
    </w:p>
    <w:p w14:paraId="12C3C5C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宋体" w:cs="Times New Roman"/>
          <w:b w:val="0"/>
          <w:bCs w:val="0"/>
          <w:color w:val="000000" w:themeColor="text1"/>
          <w:sz w:val="30"/>
          <w:szCs w:val="30"/>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区卫生健康局负责开展重大动物疫情</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人畜共患传染病）的易感染人群传染病的监测，做好有关预防、控制和医疗救治保障工作</w:t>
      </w:r>
      <w:r>
        <w:rPr>
          <w:rFonts w:hint="default" w:ascii="Times New Roman" w:hAnsi="Times New Roman" w:eastAsia="宋体" w:cs="Times New Roman"/>
          <w:b w:val="0"/>
          <w:bCs w:val="0"/>
          <w:color w:val="000000" w:themeColor="text1"/>
          <w:spacing w:val="16"/>
          <w:sz w:val="30"/>
          <w:szCs w:val="30"/>
          <w14:textFill>
            <w14:solidFill>
              <w14:schemeClr w14:val="tx1"/>
            </w14:solidFill>
          </w14:textFill>
        </w:rPr>
        <w:t>。</w:t>
      </w:r>
    </w:p>
    <w:p w14:paraId="1894176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307" w:name="_Toc27794"/>
      <w:bookmarkStart w:id="308" w:name="_Toc24916"/>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7.1.4治安保障</w:t>
      </w:r>
      <w:bookmarkEnd w:id="307"/>
      <w:bookmarkEnd w:id="308"/>
    </w:p>
    <w:p w14:paraId="32856A79">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宋体" w:cs="Times New Roman"/>
          <w:b w:val="0"/>
          <w:bCs w:val="0"/>
          <w:color w:val="000000" w:themeColor="text1"/>
          <w:sz w:val="30"/>
          <w:szCs w:val="30"/>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公安分局协助区农业农村局做好疫区封锁、强制扑杀等工作，做好疫区安保和社会治安管理。</w:t>
      </w:r>
    </w:p>
    <w:p w14:paraId="1130FFC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309" w:name="_Toc28599"/>
      <w:bookmarkStart w:id="310" w:name="_Toc20933"/>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7.1.5物资保障</w:t>
      </w:r>
      <w:bookmarkEnd w:id="309"/>
      <w:bookmarkEnd w:id="310"/>
    </w:p>
    <w:p w14:paraId="11286F0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区农业农村局按照计划建立紧急防疫物资储备库，储备足够的药品、疫苗、诊断试剂、器械、防护用品、交通及通信工具等。</w:t>
      </w:r>
    </w:p>
    <w:p w14:paraId="4F31D89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储备物资应当根据区域内动物养殖量和疫病控制情况，进行合理计划。主要包括：</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诊断试剂；</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兽用生物制品；</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消毒设施设备；</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防护用品；</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运载工具；</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6</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其他用品。</w:t>
      </w:r>
    </w:p>
    <w:p w14:paraId="193C3C0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64" w:firstLineChars="200"/>
        <w:jc w:val="both"/>
        <w:outlineLvl w:val="2"/>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pPr>
      <w:bookmarkStart w:id="311" w:name="_Toc10425"/>
      <w:bookmarkStart w:id="312" w:name="_Toc5018"/>
      <w:r>
        <w:rPr>
          <w:rFonts w:hint="default" w:ascii="Times New Roman" w:hAnsi="Times New Roman" w:eastAsia="仿宋_GB2312" w:cs="Times New Roman"/>
          <w:b w:val="0"/>
          <w:bCs w:val="0"/>
          <w:color w:val="000000" w:themeColor="text1"/>
          <w:spacing w:val="6"/>
          <w:sz w:val="32"/>
          <w:szCs w:val="32"/>
          <w:lang w:val="en-US" w:eastAsia="zh-CN"/>
          <w14:textFill>
            <w14:solidFill>
              <w14:schemeClr w14:val="tx1"/>
            </w14:solidFill>
          </w14:textFill>
        </w:rPr>
        <w:t>7.1.6经费保障</w:t>
      </w:r>
      <w:bookmarkEnd w:id="311"/>
      <w:bookmarkEnd w:id="312"/>
    </w:p>
    <w:p w14:paraId="23667A7A">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区财政局按照财政分级负担的原则，为突发重大动物疫病防控工作、动物防疫体系和兽医实验室建设提供合理而充足的资金保障。</w:t>
      </w:r>
    </w:p>
    <w:p w14:paraId="1231ECCE">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每年用于紧急防疫物资储备、扑杀病畜补贴和疫情处理、疫情监测所需经费，按有关规定纳入财政预算。如发生不可预测的重大疫情，导致资金不足，区财政局要予以追加，以保证重大动物疫情的正常处置。</w:t>
      </w:r>
    </w:p>
    <w:p w14:paraId="60F03DB6">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区财政局在保证疫情处置经费及时、足额到位的同时，要加强对经费使用的管理和监督。</w:t>
      </w:r>
    </w:p>
    <w:p w14:paraId="0A3F448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对参与我区突发重大动物疫情防控的人员，按照有关文件规定给予补助。</w:t>
      </w:r>
    </w:p>
    <w:p w14:paraId="02F484D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313" w:name="_Toc32036"/>
      <w:bookmarkStart w:id="314" w:name="_Toc31279"/>
      <w:bookmarkStart w:id="315" w:name="_Toc25458"/>
      <w:bookmarkStart w:id="316" w:name="_Toc5171"/>
      <w:bookmarkStart w:id="317" w:name="_Toc760565540"/>
      <w:bookmarkStart w:id="318" w:name="_Toc4120"/>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7.2技术储备与保障</w:t>
      </w:r>
      <w:bookmarkEnd w:id="313"/>
      <w:bookmarkEnd w:id="314"/>
      <w:bookmarkEnd w:id="315"/>
      <w:bookmarkEnd w:id="316"/>
      <w:bookmarkEnd w:id="317"/>
      <w:bookmarkEnd w:id="318"/>
    </w:p>
    <w:p w14:paraId="134792DB">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加强重大动物疫病预防与控制队伍的建设，保障动物防疫机构和技术人员的稳定，加强区动物疾病预防控制中心兽医实验室、动物防疫物资库和基层畜牧兽医站的设施设备建设，提高动物疫病诊断和检测技术水平，做好技术储备和应急处置保障工作。区农业农村局建立区突发重大动物疫情防控应急专家组，负责疫病防控策略和处置方法的咨询，参与防控技术方案的起草、修订和执行。</w:t>
      </w:r>
    </w:p>
    <w:p w14:paraId="06AEEC8F">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319" w:name="_Toc295"/>
      <w:bookmarkStart w:id="320" w:name="_Toc11251"/>
      <w:bookmarkStart w:id="321" w:name="_Toc25041"/>
      <w:bookmarkStart w:id="322" w:name="_Toc27148"/>
      <w:bookmarkStart w:id="323" w:name="_Toc1330"/>
      <w:bookmarkStart w:id="324" w:name="_Toc180568007"/>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7.3培训和演习</w:t>
      </w:r>
      <w:bookmarkEnd w:id="319"/>
      <w:bookmarkEnd w:id="320"/>
      <w:bookmarkEnd w:id="321"/>
      <w:bookmarkEnd w:id="322"/>
      <w:bookmarkEnd w:id="323"/>
      <w:bookmarkEnd w:id="324"/>
    </w:p>
    <w:p w14:paraId="10B7A8D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区农业农村局要对突发重大动物疫情应急处理预备队成员进行系统培训。</w:t>
      </w:r>
    </w:p>
    <w:p w14:paraId="3BC0F16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培训内容：</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动物疫病的预防、控制和扑灭知识，包括免疫、流行病学调查、诊断、病料采集与送检、消毒、隔离、封锁、检疫、扑杀及无害化处理等措施；</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2</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动物防疫法律、法规；</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3</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个人防护知识；</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4</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治安与环境保护；</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5</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应急处置工作流程、协调配合等内容。</w:t>
      </w:r>
    </w:p>
    <w:p w14:paraId="4D07AF2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区农业农村局可根据资金和实际需要情况，组织演练。要有计划、有步骤地制定方案，举行应急预案演练，提高突发重大动物疫情扑灭的应急处置能力。</w:t>
      </w:r>
    </w:p>
    <w:p w14:paraId="414CBB8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325" w:name="_Toc20571"/>
      <w:bookmarkStart w:id="326" w:name="_Toc15697"/>
      <w:bookmarkStart w:id="327" w:name="_Toc19104"/>
      <w:bookmarkStart w:id="328" w:name="_Toc1685968319"/>
      <w:bookmarkStart w:id="329" w:name="_Toc22316"/>
      <w:bookmarkStart w:id="330" w:name="_Toc26569"/>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7.4社会公众的宣传教育</w:t>
      </w:r>
      <w:bookmarkEnd w:id="325"/>
      <w:bookmarkEnd w:id="326"/>
      <w:bookmarkEnd w:id="327"/>
      <w:bookmarkEnd w:id="328"/>
      <w:bookmarkEnd w:id="329"/>
      <w:bookmarkEnd w:id="330"/>
    </w:p>
    <w:p w14:paraId="71066B28">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政府组织有关部门利用广播、影视、报刊、互联网、手册等多种形式广泛开展突发重大动物疫情应急知识的普及教育，宣传动物防疫科普知识，指导群众以科学的态度正确对待突发重大动物疫情。要充分发挥有关社会团体在普及动物防控应急知识、科普知识方面的作用。</w:t>
      </w:r>
    </w:p>
    <w:p w14:paraId="652FE784">
      <w:pPr>
        <w:keepNext w:val="0"/>
        <w:keepLines w:val="0"/>
        <w:pageBreakBefore w:val="0"/>
        <w:widowControl w:val="0"/>
        <w:kinsoku/>
        <w:wordWrap/>
        <w:overflowPunct w:val="0"/>
        <w:topLinePunct w:val="0"/>
        <w:autoSpaceDE/>
        <w:autoSpaceDN/>
        <w:bidi w:val="0"/>
        <w:adjustRightInd/>
        <w:snapToGrid/>
        <w:spacing w:line="600" w:lineRule="exact"/>
        <w:ind w:right="0" w:firstLine="580" w:firstLineChars="200"/>
        <w:jc w:val="both"/>
        <w:outlineLvl w:val="0"/>
        <w:rPr>
          <w:rFonts w:hint="default" w:ascii="Times New Roman" w:hAnsi="Times New Roman" w:eastAsia="黑体" w:cs="Times New Roman"/>
          <w:b w:val="0"/>
          <w:bCs w:val="0"/>
          <w:color w:val="000000" w:themeColor="text1"/>
          <w:spacing w:val="-15"/>
          <w:sz w:val="32"/>
          <w:szCs w:val="32"/>
          <w:lang w:val="en-US" w:eastAsia="zh-CN"/>
          <w14:textFill>
            <w14:solidFill>
              <w14:schemeClr w14:val="tx1"/>
            </w14:solidFill>
          </w14:textFill>
        </w:rPr>
      </w:pPr>
      <w:bookmarkStart w:id="331" w:name="_Toc7880"/>
      <w:bookmarkStart w:id="332" w:name="_Toc13480"/>
      <w:bookmarkStart w:id="333" w:name="_Toc22793"/>
      <w:bookmarkStart w:id="334" w:name="_Toc840754862"/>
      <w:bookmarkStart w:id="335" w:name="_Toc12552"/>
      <w:bookmarkStart w:id="336" w:name="_Toc32307"/>
      <w:bookmarkStart w:id="337" w:name="_Toc21046"/>
      <w:r>
        <w:rPr>
          <w:rFonts w:hint="default" w:ascii="Times New Roman" w:hAnsi="Times New Roman" w:eastAsia="黑体" w:cs="Times New Roman"/>
          <w:b w:val="0"/>
          <w:bCs w:val="0"/>
          <w:color w:val="000000" w:themeColor="text1"/>
          <w:spacing w:val="-15"/>
          <w:sz w:val="32"/>
          <w:szCs w:val="32"/>
          <w:lang w:val="en-US" w:eastAsia="zh-CN"/>
          <w14:textFill>
            <w14:solidFill>
              <w14:schemeClr w14:val="tx1"/>
            </w14:solidFill>
          </w14:textFill>
        </w:rPr>
        <w:t>8各类具体工作预案的制定</w:t>
      </w:r>
      <w:bookmarkEnd w:id="331"/>
      <w:bookmarkEnd w:id="332"/>
      <w:bookmarkEnd w:id="333"/>
      <w:bookmarkEnd w:id="334"/>
      <w:bookmarkEnd w:id="335"/>
      <w:bookmarkEnd w:id="336"/>
      <w:bookmarkEnd w:id="337"/>
    </w:p>
    <w:p w14:paraId="578DB2D2">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区动物疫情应急指挥部各成员单位根据本预案的规定，制定本部门职责范围内的具体工作方案，报区应急指挥部办公室备案。</w:t>
      </w:r>
    </w:p>
    <w:p w14:paraId="66312A88">
      <w:pPr>
        <w:keepNext w:val="0"/>
        <w:keepLines w:val="0"/>
        <w:pageBreakBefore w:val="0"/>
        <w:widowControl w:val="0"/>
        <w:kinsoku/>
        <w:wordWrap/>
        <w:overflowPunct w:val="0"/>
        <w:topLinePunct w:val="0"/>
        <w:autoSpaceDE/>
        <w:autoSpaceDN/>
        <w:bidi w:val="0"/>
        <w:adjustRightInd/>
        <w:snapToGrid/>
        <w:spacing w:line="600" w:lineRule="exact"/>
        <w:ind w:right="0" w:firstLine="580" w:firstLineChars="200"/>
        <w:jc w:val="both"/>
        <w:outlineLvl w:val="0"/>
        <w:rPr>
          <w:rFonts w:hint="default" w:ascii="Times New Roman" w:hAnsi="Times New Roman" w:cs="Times New Roman"/>
          <w:b w:val="0"/>
          <w:bCs w:val="0"/>
          <w:color w:val="000000" w:themeColor="text1"/>
          <w14:textFill>
            <w14:solidFill>
              <w14:schemeClr w14:val="tx1"/>
            </w14:solidFill>
          </w14:textFill>
        </w:rPr>
      </w:pPr>
      <w:bookmarkStart w:id="338" w:name="_Toc25909"/>
      <w:bookmarkStart w:id="339" w:name="_Toc1520749910"/>
      <w:bookmarkStart w:id="340" w:name="_Toc16311"/>
      <w:bookmarkStart w:id="341" w:name="_Toc23011"/>
      <w:bookmarkStart w:id="342" w:name="_Toc23920"/>
      <w:bookmarkStart w:id="343" w:name="_Toc17439"/>
      <w:bookmarkStart w:id="344" w:name="_Toc30495"/>
      <w:r>
        <w:rPr>
          <w:rFonts w:hint="default" w:ascii="Times New Roman" w:hAnsi="Times New Roman" w:eastAsia="黑体" w:cs="Times New Roman"/>
          <w:b w:val="0"/>
          <w:bCs w:val="0"/>
          <w:color w:val="000000" w:themeColor="text1"/>
          <w:spacing w:val="-15"/>
          <w:sz w:val="32"/>
          <w:szCs w:val="32"/>
          <w:lang w:val="en-US" w:eastAsia="zh-CN"/>
          <w14:textFill>
            <w14:solidFill>
              <w14:schemeClr w14:val="tx1"/>
            </w14:solidFill>
          </w14:textFill>
        </w:rPr>
        <w:t>9</w:t>
      </w:r>
      <w:r>
        <w:rPr>
          <w:rFonts w:hint="default" w:ascii="Times New Roman" w:hAnsi="Times New Roman" w:eastAsia="黑体" w:cs="Times New Roman"/>
          <w:b w:val="0"/>
          <w:bCs w:val="0"/>
          <w:color w:val="000000" w:themeColor="text1"/>
          <w:spacing w:val="-15"/>
          <w:sz w:val="32"/>
          <w:szCs w:val="32"/>
          <w14:textFill>
            <w14:solidFill>
              <w14:schemeClr w14:val="tx1"/>
            </w14:solidFill>
          </w14:textFill>
        </w:rPr>
        <w:t>附</w:t>
      </w:r>
      <w:r>
        <w:rPr>
          <w:rFonts w:hint="default" w:ascii="Times New Roman" w:hAnsi="Times New Roman" w:eastAsia="黑体" w:cs="Times New Roman"/>
          <w:b w:val="0"/>
          <w:bCs w:val="0"/>
          <w:color w:val="000000" w:themeColor="text1"/>
          <w:spacing w:val="-39"/>
          <w:sz w:val="32"/>
          <w:szCs w:val="32"/>
          <w:lang w:val="en-US" w:eastAsia="zh-CN"/>
          <w14:textFill>
            <w14:solidFill>
              <w14:schemeClr w14:val="tx1"/>
            </w14:solidFill>
          </w14:textFill>
        </w:rPr>
        <w:t>则</w:t>
      </w:r>
      <w:bookmarkEnd w:id="338"/>
      <w:bookmarkEnd w:id="339"/>
      <w:bookmarkEnd w:id="340"/>
      <w:bookmarkEnd w:id="341"/>
      <w:bookmarkEnd w:id="342"/>
      <w:bookmarkEnd w:id="343"/>
      <w:bookmarkEnd w:id="344"/>
    </w:p>
    <w:p w14:paraId="681270D4">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345" w:name="_Toc21987"/>
      <w:bookmarkStart w:id="346" w:name="_Toc14987"/>
      <w:bookmarkStart w:id="347" w:name="_Toc32657"/>
      <w:bookmarkStart w:id="348" w:name="_Toc19336"/>
      <w:bookmarkStart w:id="349" w:name="_Toc23472"/>
      <w:bookmarkStart w:id="350" w:name="_Toc825100286"/>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9.1名词术语</w:t>
      </w:r>
      <w:bookmarkEnd w:id="345"/>
      <w:bookmarkEnd w:id="346"/>
      <w:bookmarkEnd w:id="347"/>
      <w:bookmarkEnd w:id="348"/>
      <w:bookmarkEnd w:id="349"/>
      <w:bookmarkEnd w:id="350"/>
    </w:p>
    <w:p w14:paraId="13FB2CD5">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重大动物疫情：是指一、二、三类动物疫病突然发生，迅速传播，导致动物发病率或者死亡率增高，给养殖业生产安全造成严重威胁、危害以及可能对公众身体健康与生命安全造成危害的情形。</w:t>
      </w:r>
    </w:p>
    <w:p w14:paraId="4BCDA1F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暴发：某种动物疫病在一个动物群体单位或一定地区范围内，在短时期</w:t>
      </w:r>
      <w:r>
        <w:rPr>
          <w:rFonts w:hint="eastAsia"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该病的最长潜伏期内）突然出现很多病例的状况。</w:t>
      </w:r>
    </w:p>
    <w:p w14:paraId="005EB34A">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疫点：范围较小的疫源地或单个传染源所构成的疫源地。</w:t>
      </w:r>
    </w:p>
    <w:p w14:paraId="0A7E2A2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疫区：某种疫病正在流行时，多个疫源地相互连接成片且范围较大的区域。</w:t>
      </w:r>
    </w:p>
    <w:p w14:paraId="4B5364ED">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受威胁区：与疫区紧邻并存在该疫区动物疫病传入危险的地区。</w:t>
      </w:r>
    </w:p>
    <w:p w14:paraId="29591E60">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本预案有关数量的表述中，“以上”含本数，“以下”不含本数。</w:t>
      </w:r>
    </w:p>
    <w:p w14:paraId="7638856C">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351" w:name="_Toc802069215"/>
      <w:bookmarkStart w:id="352" w:name="_Toc25961"/>
      <w:bookmarkStart w:id="353" w:name="_Toc30878"/>
      <w:bookmarkStart w:id="354" w:name="_Toc6791"/>
      <w:bookmarkStart w:id="355" w:name="_Toc23243"/>
      <w:bookmarkStart w:id="356" w:name="_Toc4589"/>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9.2预案管理与修订</w:t>
      </w:r>
      <w:bookmarkEnd w:id="351"/>
      <w:bookmarkEnd w:id="352"/>
      <w:bookmarkEnd w:id="353"/>
      <w:bookmarkEnd w:id="354"/>
      <w:bookmarkEnd w:id="355"/>
      <w:bookmarkEnd w:id="356"/>
    </w:p>
    <w:p w14:paraId="470864E1">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本预案由区农业农村局牵头制定，报区政府批准后实施。预案发布后报区应急管理局备案，同时抄送市农业农村局。</w:t>
      </w:r>
    </w:p>
    <w:p w14:paraId="0A29A44A">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预案应当定期评审，按照区应急预案管理办法有关规定，结合突发重大动物疫情形势变化、演练总结评估情况及时修订。</w:t>
      </w:r>
    </w:p>
    <w:p w14:paraId="3434F763">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357" w:name="_Toc16688"/>
      <w:bookmarkStart w:id="358" w:name="_Toc18409"/>
      <w:bookmarkStart w:id="359" w:name="_Toc23059"/>
      <w:bookmarkStart w:id="360" w:name="_Toc1602341268"/>
      <w:bookmarkStart w:id="361" w:name="_Toc12447"/>
      <w:bookmarkStart w:id="362" w:name="_Toc27157"/>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9.3预案解释部门</w:t>
      </w:r>
      <w:bookmarkEnd w:id="357"/>
      <w:bookmarkEnd w:id="358"/>
      <w:bookmarkEnd w:id="359"/>
      <w:bookmarkEnd w:id="360"/>
      <w:bookmarkEnd w:id="361"/>
      <w:bookmarkEnd w:id="362"/>
    </w:p>
    <w:p w14:paraId="1D512FD0">
      <w:pPr>
        <w:keepNext w:val="0"/>
        <w:keepLines w:val="0"/>
        <w:pageBreakBefore w:val="0"/>
        <w:widowControl w:val="0"/>
        <w:suppressLineNumbers w:val="0"/>
        <w:kinsoku/>
        <w:wordWrap/>
        <w:overflowPunct w:val="0"/>
        <w:topLinePunct w:val="0"/>
        <w:autoSpaceDE/>
        <w:autoSpaceDN/>
        <w:bidi w:val="0"/>
        <w:adjustRightInd/>
        <w:snapToGrid/>
        <w:spacing w:line="600" w:lineRule="exact"/>
        <w:ind w:left="0" w:leftChars="0" w:right="0" w:firstLine="624" w:firstLineChars="200"/>
        <w:jc w:val="both"/>
        <w:rPr>
          <w:rFonts w:hint="default" w:ascii="Times New Roman" w:hAnsi="Times New Roman" w:cs="Times New Roman"/>
          <w:b w:val="0"/>
          <w:bCs w:val="0"/>
          <w:color w:val="000000" w:themeColor="text1"/>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本预案由区农业农村局负责解释。</w:t>
      </w:r>
    </w:p>
    <w:p w14:paraId="57A3A0D7">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44" w:firstLineChars="200"/>
        <w:jc w:val="both"/>
        <w:outlineLvl w:val="1"/>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pPr>
      <w:bookmarkStart w:id="363" w:name="_Toc31377"/>
      <w:bookmarkStart w:id="364" w:name="_Toc692106026"/>
      <w:bookmarkStart w:id="365" w:name="_Toc13894"/>
      <w:bookmarkStart w:id="366" w:name="_Toc23449"/>
      <w:bookmarkStart w:id="367" w:name="_Toc26895"/>
      <w:bookmarkStart w:id="368" w:name="_Toc23540"/>
      <w:r>
        <w:rPr>
          <w:rFonts w:hint="default" w:ascii="Times New Roman" w:hAnsi="Times New Roman" w:eastAsia="楷体" w:cs="Times New Roman"/>
          <w:b w:val="0"/>
          <w:bCs w:val="0"/>
          <w:snapToGrid w:val="0"/>
          <w:color w:val="000000" w:themeColor="text1"/>
          <w:spacing w:val="1"/>
          <w:kern w:val="0"/>
          <w:sz w:val="32"/>
          <w:szCs w:val="32"/>
          <w:lang w:val="en-US" w:eastAsia="zh-CN"/>
          <w14:textFill>
            <w14:solidFill>
              <w14:schemeClr w14:val="tx1"/>
            </w14:solidFill>
          </w14:textFill>
        </w:rPr>
        <w:t>9.4预案实施时间</w:t>
      </w:r>
      <w:bookmarkEnd w:id="363"/>
      <w:bookmarkEnd w:id="364"/>
      <w:bookmarkEnd w:id="365"/>
      <w:bookmarkEnd w:id="366"/>
      <w:bookmarkEnd w:id="367"/>
      <w:bookmarkEnd w:id="368"/>
    </w:p>
    <w:p w14:paraId="05548B3F">
      <w:pPr>
        <w:keepNext w:val="0"/>
        <w:keepLines w:val="0"/>
        <w:pageBreakBefore w:val="0"/>
        <w:widowControl w:val="0"/>
        <w:kinsoku/>
        <w:wordWrap/>
        <w:overflowPunct w:val="0"/>
        <w:topLinePunct w:val="0"/>
        <w:autoSpaceDE/>
        <w:autoSpaceDN/>
        <w:bidi w:val="0"/>
        <w:adjustRightInd/>
        <w:snapToGrid/>
        <w:spacing w:line="600" w:lineRule="exact"/>
        <w:ind w:left="0" w:leftChars="0" w:right="0" w:firstLine="624" w:firstLineChars="200"/>
        <w:jc w:val="both"/>
        <w:textAlignment w:val="baseline"/>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4"/>
          <w:sz w:val="32"/>
          <w:szCs w:val="32"/>
          <w:lang w:val="en-US" w:eastAsia="zh-CN"/>
          <w14:textFill>
            <w14:solidFill>
              <w14:schemeClr w14:val="tx1"/>
            </w14:solidFill>
          </w14:textFill>
        </w:rPr>
        <w:t>本预案自印发之日起执行。</w:t>
      </w:r>
    </w:p>
    <w:p w14:paraId="0CF52DBB">
      <w:pPr>
        <w:pStyle w:val="2"/>
        <w:keepNext w:val="0"/>
        <w:keepLines w:val="0"/>
        <w:pageBreakBefore w:val="0"/>
        <w:widowControl w:val="0"/>
        <w:numPr>
          <w:ilvl w:val="0"/>
          <w:numId w:val="0"/>
        </w:numPr>
        <w:kinsoku/>
        <w:wordWrap/>
        <w:overflowPunct w:val="0"/>
        <w:topLinePunct w:val="0"/>
        <w:autoSpaceDE/>
        <w:autoSpaceDN/>
        <w:bidi w:val="0"/>
        <w:adjustRightInd/>
        <w:snapToGrid/>
        <w:spacing w:line="600" w:lineRule="exact"/>
        <w:ind w:left="0" w:leftChars="0" w:right="0" w:firstLine="664" w:firstLineChars="200"/>
        <w:jc w:val="both"/>
        <w:rPr>
          <w:rFonts w:hint="default" w:ascii="Times New Roman" w:hAnsi="Times New Roman" w:eastAsia="仿宋_GB2312" w:cs="Times New Roman"/>
          <w:b w:val="0"/>
          <w:bCs w:val="0"/>
          <w:color w:val="000000" w:themeColor="text1"/>
          <w:spacing w:val="6"/>
          <w:kern w:val="2"/>
          <w:sz w:val="32"/>
          <w:szCs w:val="32"/>
          <w:lang w:val="en-US" w:eastAsia="zh-CN" w:bidi="ar-SA"/>
          <w14:textFill>
            <w14:solidFill>
              <w14:schemeClr w14:val="tx1"/>
            </w14:solidFill>
          </w14:textFill>
        </w:rPr>
      </w:pPr>
    </w:p>
    <w:p w14:paraId="22A18B55">
      <w:pPr>
        <w:pStyle w:val="2"/>
        <w:keepNext w:val="0"/>
        <w:keepLines w:val="0"/>
        <w:pageBreakBefore w:val="0"/>
        <w:widowControl w:val="0"/>
        <w:numPr>
          <w:ilvl w:val="0"/>
          <w:numId w:val="0"/>
        </w:numPr>
        <w:kinsoku/>
        <w:wordWrap/>
        <w:overflowPunct w:val="0"/>
        <w:topLinePunct w:val="0"/>
        <w:autoSpaceDE/>
        <w:autoSpaceDN/>
        <w:bidi w:val="0"/>
        <w:adjustRightInd/>
        <w:snapToGrid/>
        <w:spacing w:line="600" w:lineRule="exact"/>
        <w:ind w:left="0" w:leftChars="0" w:right="0" w:firstLine="664" w:firstLineChars="200"/>
        <w:jc w:val="both"/>
        <w:rPr>
          <w:rFonts w:hint="default" w:ascii="Times New Roman" w:hAnsi="Times New Roman" w:eastAsia="仿宋_GB2312" w:cs="Times New Roman"/>
          <w:b w:val="0"/>
          <w:bCs w:val="0"/>
          <w:color w:val="000000" w:themeColor="text1"/>
          <w:spacing w:val="6"/>
          <w:kern w:val="2"/>
          <w:sz w:val="32"/>
          <w:szCs w:val="32"/>
          <w:lang w:val="en-US" w:eastAsia="zh-CN" w:bidi="ar-SA"/>
          <w14:textFill>
            <w14:solidFill>
              <w14:schemeClr w14:val="tx1"/>
            </w14:solidFill>
          </w14:textFill>
        </w:rPr>
      </w:pPr>
      <w:r>
        <w:rPr>
          <w:rFonts w:hint="default" w:ascii="Times New Roman" w:hAnsi="Times New Roman" w:eastAsia="仿宋_GB2312" w:cs="Times New Roman"/>
          <w:b w:val="0"/>
          <w:bCs w:val="0"/>
          <w:color w:val="000000" w:themeColor="text1"/>
          <w:spacing w:val="6"/>
          <w:kern w:val="2"/>
          <w:sz w:val="32"/>
          <w:szCs w:val="32"/>
          <w:lang w:val="en-US" w:eastAsia="zh-CN" w:bidi="ar-SA"/>
          <w14:textFill>
            <w14:solidFill>
              <w14:schemeClr w14:val="tx1"/>
            </w14:solidFill>
          </w14:textFill>
        </w:rPr>
        <w:t>附件：西安市临潼区突发重大动物疫情应急工作流程图</w:t>
      </w:r>
    </w:p>
    <w:p w14:paraId="54F5A811">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firstLine="664" w:firstLineChars="20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bookmarkStart w:id="369" w:name="_Toc1847892990"/>
      <w:bookmarkStart w:id="370" w:name="_Toc19511"/>
      <w:bookmarkStart w:id="371" w:name="_Toc31261"/>
      <w:bookmarkStart w:id="372" w:name="_Toc170"/>
      <w:bookmarkStart w:id="373" w:name="_Toc5764"/>
      <w:bookmarkStart w:id="374" w:name="_Toc9490"/>
      <w:bookmarkStart w:id="375" w:name="_Toc9494"/>
      <w:bookmarkStart w:id="376" w:name="_Toc1954"/>
    </w:p>
    <w:p w14:paraId="71B3D997">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34F4FB48">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60F0DEA3">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4E8CE26E">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6691468B">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66048C93">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3BDC729B">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159BDF10">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r>
        <w:rPr>
          <w:rFonts w:hint="eastAsia"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t xml:space="preserve"> </w:t>
      </w:r>
    </w:p>
    <w:p w14:paraId="260F194D">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11328CB8">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4869F945">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4EDDEE83">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24B9BEAC">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p>
    <w:p w14:paraId="5B6FF845">
      <w:pPr>
        <w:pStyle w:val="2"/>
        <w:keepNext w:val="0"/>
        <w:keepLines w:val="0"/>
        <w:pageBreakBefore w:val="0"/>
        <w:numPr>
          <w:ilvl w:val="0"/>
          <w:numId w:val="0"/>
        </w:numPr>
        <w:wordWrap/>
        <w:overflowPunct/>
        <w:topLinePunct w:val="0"/>
        <w:bidi w:val="0"/>
        <w:spacing w:line="600" w:lineRule="exact"/>
        <w:ind w:left="0" w:leftChars="0" w:right="0"/>
        <w:jc w:val="both"/>
        <w:outlineLvl w:val="0"/>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pPr>
      <w:r>
        <w:rPr>
          <w:rFonts w:hint="default" w:ascii="Times New Roman" w:hAnsi="Times New Roman" w:eastAsia="黑体" w:cs="Times New Roman"/>
          <w:b w:val="0"/>
          <w:bCs w:val="0"/>
          <w:color w:val="000000" w:themeColor="text1"/>
          <w:spacing w:val="6"/>
          <w:kern w:val="2"/>
          <w:sz w:val="32"/>
          <w:szCs w:val="32"/>
          <w:lang w:val="en-US" w:eastAsia="zh-CN" w:bidi="ar-SA"/>
          <w14:textFill>
            <w14:solidFill>
              <w14:schemeClr w14:val="tx1"/>
            </w14:solidFill>
          </w14:textFill>
        </w:rPr>
        <w:t>附件</w:t>
      </w:r>
      <w:bookmarkEnd w:id="369"/>
      <w:bookmarkEnd w:id="370"/>
      <w:bookmarkEnd w:id="371"/>
      <w:bookmarkEnd w:id="372"/>
      <w:bookmarkEnd w:id="373"/>
      <w:bookmarkEnd w:id="374"/>
      <w:bookmarkEnd w:id="375"/>
      <w:bookmarkEnd w:id="376"/>
    </w:p>
    <w:p w14:paraId="6E50B545">
      <w:pPr>
        <w:pStyle w:val="2"/>
        <w:keepNext w:val="0"/>
        <w:keepLines w:val="0"/>
        <w:pageBreakBefore w:val="0"/>
        <w:numPr>
          <w:ilvl w:val="0"/>
          <w:numId w:val="0"/>
        </w:numPr>
        <w:wordWrap/>
        <w:overflowPunct/>
        <w:topLinePunct w:val="0"/>
        <w:bidi w:val="0"/>
        <w:spacing w:line="600" w:lineRule="exact"/>
        <w:ind w:left="0" w:leftChars="0" w:right="0"/>
        <w:jc w:val="center"/>
        <w:outlineLvl w:val="0"/>
        <w:rPr>
          <w:rFonts w:hint="eastAsia" w:ascii="方正小标宋简体" w:hAnsi="方正小标宋简体" w:eastAsia="方正小标宋简体" w:cs="方正小标宋简体"/>
          <w:b w:val="0"/>
          <w:bCs w:val="0"/>
          <w:color w:val="000000" w:themeColor="text1"/>
          <w:spacing w:val="6"/>
          <w:kern w:val="2"/>
          <w:sz w:val="36"/>
          <w:szCs w:val="36"/>
          <w:lang w:val="en-US" w:eastAsia="zh-CN" w:bidi="ar-SA"/>
          <w14:textFill>
            <w14:solidFill>
              <w14:schemeClr w14:val="tx1"/>
            </w14:solidFill>
          </w14:textFill>
        </w:rPr>
      </w:pPr>
      <w:bookmarkStart w:id="377" w:name="_Toc2042956852"/>
      <w:r>
        <w:rPr>
          <w:rFonts w:hint="eastAsia" w:ascii="方正小标宋简体" w:hAnsi="方正小标宋简体" w:eastAsia="方正小标宋简体" w:cs="方正小标宋简体"/>
          <w:b w:val="0"/>
          <w:bCs w:val="0"/>
          <w:color w:val="000000" w:themeColor="text1"/>
          <w:spacing w:val="6"/>
          <w:kern w:val="2"/>
          <w:sz w:val="36"/>
          <w:szCs w:val="36"/>
          <w:lang w:val="en-US" w:eastAsia="zh-CN" w:bidi="ar-SA"/>
          <w14:textFill>
            <w14:solidFill>
              <w14:schemeClr w14:val="tx1"/>
            </w14:solidFill>
          </w14:textFill>
        </w:rPr>
        <w:t>西安市临潼区突发重大动物疫情应急工作流程图</w:t>
      </w:r>
      <w:bookmarkEnd w:id="377"/>
    </w:p>
    <w:p w14:paraId="188C5707">
      <w:pPr>
        <w:pStyle w:val="2"/>
        <w:keepNext w:val="0"/>
        <w:keepLines w:val="0"/>
        <w:pageBreakBefore w:val="0"/>
        <w:numPr>
          <w:ilvl w:val="0"/>
          <w:numId w:val="0"/>
        </w:numPr>
        <w:wordWrap/>
        <w:overflowPunct/>
        <w:topLinePunct w:val="0"/>
        <w:bidi w:val="0"/>
        <w:spacing w:line="600" w:lineRule="exact"/>
        <w:ind w:left="0" w:leftChars="0" w:right="0"/>
        <w:jc w:val="center"/>
        <w:outlineLvl w:val="0"/>
        <w:rPr>
          <w:rFonts w:hint="eastAsia" w:ascii="方正小标宋简体" w:hAnsi="方正小标宋简体" w:eastAsia="方正小标宋简体" w:cs="方正小标宋简体"/>
          <w:b w:val="0"/>
          <w:bCs w:val="0"/>
          <w:color w:val="000000" w:themeColor="text1"/>
          <w:spacing w:val="6"/>
          <w:kern w:val="2"/>
          <w:sz w:val="36"/>
          <w:szCs w:val="36"/>
          <w:lang w:val="en-US" w:eastAsia="zh-CN" w:bidi="ar-SA"/>
          <w14:textFill>
            <w14:solidFill>
              <w14:schemeClr w14:val="tx1"/>
            </w14:solidFill>
          </w14:textFill>
        </w:rPr>
      </w:pPr>
      <w:r>
        <w:rPr>
          <w:sz w:val="24"/>
          <w:szCs w:val="24"/>
        </w:rPr>
        <mc:AlternateContent>
          <mc:Choice Requires="wpg">
            <w:drawing>
              <wp:anchor distT="0" distB="0" distL="114300" distR="114300" simplePos="0" relativeHeight="251659264" behindDoc="0" locked="0" layoutInCell="1" allowOverlap="1">
                <wp:simplePos x="0" y="0"/>
                <wp:positionH relativeFrom="column">
                  <wp:posOffset>-628650</wp:posOffset>
                </wp:positionH>
                <wp:positionV relativeFrom="paragraph">
                  <wp:posOffset>267970</wp:posOffset>
                </wp:positionV>
                <wp:extent cx="6586220" cy="6994525"/>
                <wp:effectExtent l="4445" t="5080" r="19685" b="10795"/>
                <wp:wrapNone/>
                <wp:docPr id="111" name="组合 111"/>
                <wp:cNvGraphicFramePr/>
                <a:graphic xmlns:a="http://schemas.openxmlformats.org/drawingml/2006/main">
                  <a:graphicData uri="http://schemas.microsoft.com/office/word/2010/wordprocessingGroup">
                    <wpg:wgp>
                      <wpg:cNvGrpSpPr/>
                      <wpg:grpSpPr>
                        <a:xfrm>
                          <a:off x="0" y="0"/>
                          <a:ext cx="6586220" cy="6994525"/>
                          <a:chOff x="15682" y="348789"/>
                          <a:chExt cx="10258" cy="11821"/>
                        </a:xfrm>
                      </wpg:grpSpPr>
                      <wps:wsp>
                        <wps:cNvPr id="2" name="文本框 2"/>
                        <wps:cNvSpPr txBox="1"/>
                        <wps:spPr>
                          <a:xfrm>
                            <a:off x="19228" y="348789"/>
                            <a:ext cx="3020" cy="67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5F3B0EA">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接到可疑疫情报告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直接箭头连接符 3"/>
                        <wps:cNvCnPr/>
                        <wps:spPr>
                          <a:xfrm flipH="1">
                            <a:off x="20746" y="349466"/>
                            <a:ext cx="10" cy="396"/>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 name="文本框 4"/>
                        <wps:cNvSpPr txBox="1"/>
                        <wps:spPr>
                          <a:xfrm>
                            <a:off x="17389" y="349895"/>
                            <a:ext cx="6731" cy="108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BCD5C6C">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区动物疾控中心派出人员现场诊断、流行病学调查和采样送检，怀疑重大动物疫病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直接箭头连接符 5"/>
                        <wps:cNvCnPr/>
                        <wps:spPr>
                          <a:xfrm flipH="1">
                            <a:off x="20784" y="350962"/>
                            <a:ext cx="6" cy="38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6" name="文本框 6"/>
                        <wps:cNvSpPr txBox="1"/>
                        <wps:spPr>
                          <a:xfrm>
                            <a:off x="19453" y="351363"/>
                            <a:ext cx="2587" cy="61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2D53629">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进入工作程序</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10" name="组合 110"/>
                        <wpg:cNvGrpSpPr/>
                        <wpg:grpSpPr>
                          <a:xfrm>
                            <a:off x="15682" y="352008"/>
                            <a:ext cx="10258" cy="8603"/>
                            <a:chOff x="6542" y="351858"/>
                            <a:chExt cx="10733" cy="8864"/>
                          </a:xfrm>
                        </wpg:grpSpPr>
                        <wps:wsp>
                          <wps:cNvPr id="25" name="直接箭头连接符 9"/>
                          <wps:cNvCnPr/>
                          <wps:spPr>
                            <a:xfrm>
                              <a:off x="7910" y="355577"/>
                              <a:ext cx="1" cy="493"/>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6" name="直接箭头连接符 46"/>
                          <wps:cNvCnPr/>
                          <wps:spPr>
                            <a:xfrm>
                              <a:off x="7815" y="356946"/>
                              <a:ext cx="16" cy="46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g:cNvPr id="109" name="组合 109"/>
                          <wpg:cNvGrpSpPr/>
                          <wpg:grpSpPr>
                            <a:xfrm>
                              <a:off x="6542" y="351858"/>
                              <a:ext cx="10733" cy="8864"/>
                              <a:chOff x="18074" y="352364"/>
                              <a:chExt cx="10733" cy="8864"/>
                            </a:xfrm>
                          </wpg:grpSpPr>
                          <wps:wsp>
                            <wps:cNvPr id="58" name="文本框 37"/>
                            <wps:cNvSpPr txBox="1"/>
                            <wps:spPr>
                              <a:xfrm>
                                <a:off x="18592" y="360578"/>
                                <a:ext cx="2720" cy="6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E942BD7">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报告市农业农村局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9" name="文本框 38"/>
                            <wps:cNvSpPr txBox="1"/>
                            <wps:spPr>
                              <a:xfrm>
                                <a:off x="22395" y="360593"/>
                                <a:ext cx="2738" cy="5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73D8AE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报告区政府</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文本框 39"/>
                            <wps:cNvSpPr txBox="1"/>
                            <wps:spPr>
                              <a:xfrm>
                                <a:off x="26330" y="360608"/>
                                <a:ext cx="2446" cy="49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378D1FD">
                                  <w:pPr>
                                    <w:jc w:val="center"/>
                                    <w:rPr>
                                      <w:rFonts w:hint="eastAsia"/>
                                      <w:lang w:eastAsia="zh-CN"/>
                                    </w:rPr>
                                  </w:pPr>
                                  <w:r>
                                    <w:rPr>
                                      <w:rFonts w:hint="eastAsia" w:ascii="仿宋_GB2312" w:hAnsi="仿宋_GB2312" w:eastAsia="仿宋_GB2312" w:cs="仿宋_GB2312"/>
                                      <w:sz w:val="28"/>
                                      <w:szCs w:val="28"/>
                                      <w:lang w:val="en-US" w:eastAsia="zh-CN"/>
                                    </w:rPr>
                                    <w:t>收集资料、归档</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93"/>
                            <wps:cNvSpPr txBox="1"/>
                            <wps:spPr>
                              <a:xfrm>
                                <a:off x="18274" y="357901"/>
                                <a:ext cx="2325" cy="61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B1045D">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收集工作动态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9" name="文本框 99"/>
                            <wps:cNvSpPr txBox="1"/>
                            <wps:spPr>
                              <a:xfrm>
                                <a:off x="22115" y="357880"/>
                                <a:ext cx="2997" cy="69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C0A2FC1">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派出工作组指导处置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7" name="直接连接符 8"/>
                            <wps:cNvCnPr/>
                            <wps:spPr>
                              <a:xfrm>
                                <a:off x="19442" y="356102"/>
                                <a:ext cx="8213"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94" name="文本框 94"/>
                            <wps:cNvSpPr txBox="1"/>
                            <wps:spPr>
                              <a:xfrm>
                                <a:off x="18239" y="356570"/>
                                <a:ext cx="2363" cy="86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AD20FC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指挥部办公室启动预案</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8" name="直接箭头连接符 108"/>
                            <wps:cNvCnPr>
                              <a:stCxn id="96" idx="2"/>
                              <a:endCxn id="99" idx="0"/>
                            </wps:cNvCnPr>
                            <wps:spPr>
                              <a:xfrm flipH="1">
                                <a:off x="23614" y="357335"/>
                                <a:ext cx="13" cy="54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96" name="文本框 96"/>
                            <wps:cNvSpPr txBox="1"/>
                            <wps:spPr>
                              <a:xfrm>
                                <a:off x="22211" y="356584"/>
                                <a:ext cx="2831" cy="751"/>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6B49850">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成员单位内部通报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5" name="文本框 95"/>
                            <wps:cNvSpPr txBox="1"/>
                            <wps:spPr>
                              <a:xfrm>
                                <a:off x="26444" y="356562"/>
                                <a:ext cx="2363" cy="91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491314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向区政府和市农业农村局报告</w:t>
                                  </w:r>
                                </w:p>
                                <w:p w14:paraId="3C23E06B">
                                  <w:pPr>
                                    <w:rPr>
                                      <w:rFonts w:hint="eastAsia"/>
                                      <w:lang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7" name="直接箭头连接符 107"/>
                            <wps:cNvCnPr/>
                            <wps:spPr>
                              <a:xfrm>
                                <a:off x="23674" y="358548"/>
                                <a:ext cx="10" cy="52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98" name="文本框 98"/>
                            <wps:cNvSpPr txBox="1"/>
                            <wps:spPr>
                              <a:xfrm>
                                <a:off x="22189" y="359077"/>
                                <a:ext cx="2880" cy="61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42E40F2">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拔除疫点</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00" name="组合 100"/>
                            <wpg:cNvGrpSpPr/>
                            <wpg:grpSpPr>
                              <a:xfrm>
                                <a:off x="19493" y="359651"/>
                                <a:ext cx="8212" cy="953"/>
                                <a:chOff x="19460" y="355980"/>
                                <a:chExt cx="8212" cy="1365"/>
                              </a:xfrm>
                            </wpg:grpSpPr>
                            <wps:wsp>
                              <wps:cNvPr id="101" name="直接箭头连接符 7"/>
                              <wps:cNvCnPr/>
                              <wps:spPr>
                                <a:xfrm flipH="1">
                                  <a:off x="23640" y="355980"/>
                                  <a:ext cx="3" cy="59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g:cNvPr id="102" name="组合 40"/>
                              <wpg:cNvGrpSpPr/>
                              <wpg:grpSpPr>
                                <a:xfrm>
                                  <a:off x="19460" y="356621"/>
                                  <a:ext cx="8212" cy="724"/>
                                  <a:chOff x="19516" y="357183"/>
                                  <a:chExt cx="8212" cy="724"/>
                                </a:xfrm>
                              </wpg:grpSpPr>
                              <wps:wsp>
                                <wps:cNvPr id="103" name="直接连接符 8"/>
                                <wps:cNvCnPr/>
                                <wps:spPr>
                                  <a:xfrm>
                                    <a:off x="19516" y="357201"/>
                                    <a:ext cx="8213"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4" name="直接箭头连接符 9"/>
                                <wps:cNvCnPr/>
                                <wps:spPr>
                                  <a:xfrm>
                                    <a:off x="19534" y="357201"/>
                                    <a:ext cx="1" cy="70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05" name="直接箭头连接符 10"/>
                                <wps:cNvCnPr/>
                                <wps:spPr>
                                  <a:xfrm flipH="1">
                                    <a:off x="23678" y="357183"/>
                                    <a:ext cx="14" cy="654"/>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106" name="直接箭头连接符 12"/>
                                <wps:cNvCnPr/>
                                <wps:spPr>
                                  <a:xfrm flipH="1">
                                    <a:off x="27691" y="357201"/>
                                    <a:ext cx="6" cy="606"/>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g:grpSp>
                          <wps:wsp>
                            <wps:cNvPr id="90" name="文本框 90"/>
                            <wps:cNvSpPr txBox="1"/>
                            <wps:spPr>
                              <a:xfrm>
                                <a:off x="22612" y="354962"/>
                                <a:ext cx="2119" cy="69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532573B">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接到确认报告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2" name="肘形连接符 92"/>
                            <wps:cNvCnPr>
                              <a:stCxn id="86" idx="2"/>
                              <a:endCxn id="90" idx="0"/>
                            </wps:cNvCnPr>
                            <wps:spPr>
                              <a:xfrm rot="5400000" flipV="1">
                                <a:off x="22594" y="353884"/>
                                <a:ext cx="398" cy="1757"/>
                              </a:xfrm>
                              <a:prstGeom prst="bentConnector3">
                                <a:avLst>
                                  <a:gd name="adj1" fmla="val 50134"/>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87" name="文本框 87"/>
                            <wps:cNvSpPr txBox="1"/>
                            <wps:spPr>
                              <a:xfrm>
                                <a:off x="18074" y="353198"/>
                                <a:ext cx="2363" cy="129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0AEABDD">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区动物疾控中心诊断、采样、送检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6" name="文本框 86"/>
                            <wps:cNvSpPr txBox="1"/>
                            <wps:spPr>
                              <a:xfrm>
                                <a:off x="20713" y="353225"/>
                                <a:ext cx="2402" cy="133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6417444">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区动物疾控中心向市动物疾控中心报告并送样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0" name="直接箭头连接符 7"/>
                            <wps:cNvCnPr/>
                            <wps:spPr>
                              <a:xfrm flipH="1">
                                <a:off x="23603" y="355641"/>
                                <a:ext cx="3" cy="41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85" name="文本框 85"/>
                            <wps:cNvSpPr txBox="1"/>
                            <wps:spPr>
                              <a:xfrm>
                                <a:off x="23428" y="353252"/>
                                <a:ext cx="2363" cy="130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7B2D79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区动物疾控中心向区农业农村局报告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2" name="文本框 82"/>
                            <wps:cNvSpPr txBox="1"/>
                            <wps:spPr>
                              <a:xfrm>
                                <a:off x="26106" y="353254"/>
                                <a:ext cx="2361" cy="130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D4F4F45">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区农业农村局向区政府和市农业农村局报告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8" name="直接箭头连接符 10"/>
                            <wps:cNvCnPr/>
                            <wps:spPr>
                              <a:xfrm flipH="1">
                                <a:off x="23604" y="356145"/>
                                <a:ext cx="14" cy="456"/>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79" name="直接箭头连接符 12"/>
                            <wps:cNvCnPr/>
                            <wps:spPr>
                              <a:xfrm flipH="1">
                                <a:off x="27637" y="356122"/>
                                <a:ext cx="14" cy="44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91" name="直接箭头连接符 91"/>
                            <wps:cNvCnPr/>
                            <wps:spPr>
                              <a:xfrm flipH="1">
                                <a:off x="23437" y="352364"/>
                                <a:ext cx="3" cy="4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89" name="直接连接符 89"/>
                            <wps:cNvCnPr/>
                            <wps:spPr>
                              <a:xfrm>
                                <a:off x="19237" y="352749"/>
                                <a:ext cx="8062" cy="1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3" name="直接箭头连接符 83"/>
                            <wps:cNvCnPr>
                              <a:endCxn id="87" idx="0"/>
                            </wps:cNvCnPr>
                            <wps:spPr>
                              <a:xfrm>
                                <a:off x="19236" y="352749"/>
                                <a:ext cx="1" cy="44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81" name="直接箭头连接符 81"/>
                            <wps:cNvCnPr/>
                            <wps:spPr>
                              <a:xfrm>
                                <a:off x="21899" y="352730"/>
                                <a:ext cx="15" cy="494"/>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88" name="直接箭头连接符 88"/>
                            <wps:cNvCnPr>
                              <a:endCxn id="85" idx="0"/>
                            </wps:cNvCnPr>
                            <wps:spPr>
                              <a:xfrm>
                                <a:off x="24599" y="352767"/>
                                <a:ext cx="11" cy="48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84" name="直接箭头连接符 84"/>
                            <wps:cNvCnPr>
                              <a:endCxn id="82" idx="0"/>
                            </wps:cNvCnPr>
                            <wps:spPr>
                              <a:xfrm flipH="1">
                                <a:off x="27287" y="352722"/>
                                <a:ext cx="16" cy="53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grpSp>
                      </wpg:grpSp>
                    </wpg:wgp>
                  </a:graphicData>
                </a:graphic>
              </wp:anchor>
            </w:drawing>
          </mc:Choice>
          <mc:Fallback>
            <w:pict>
              <v:group id="_x0000_s1026" o:spid="_x0000_s1026" o:spt="203" style="position:absolute;left:0pt;margin-left:-49.5pt;margin-top:21.1pt;height:550.75pt;width:518.6pt;z-index:251659264;mso-width-relative:page;mso-height-relative:page;" coordorigin="15682,348789" coordsize="10258,11821" o:gfxdata="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">
                <o:lock v:ext="edit" aspectratio="f"/>
                <v:shape id="_x0000_s1026" o:spid="_x0000_s1026" o:spt="202" type="#_x0000_t202" style="position:absolute;left:19228;top:348789;height:676;width:3020;" fillcolor="#FFFFFF [3201]" filled="t" stroked="t" coordsize="21600,21600" o:gfxdata="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bwNh+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75F3B0EA">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接到可疑疫情报告</w:t>
                        </w:r>
                      </w:p>
                    </w:txbxContent>
                  </v:textbox>
                </v:shape>
                <v:shape id="_x0000_s1026" o:spid="_x0000_s1026" o:spt="32" type="#_x0000_t32" style="position:absolute;left:20746;top:349466;flip:x;height:396;width:10;" filled="f" stroked="t" coordsize="21600,21600" o:gfxdata="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CCxxugAAANo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shape id="_x0000_s1026" o:spid="_x0000_s1026" o:spt="202" type="#_x0000_t202" style="position:absolute;left:17389;top:349895;height:1088;width:6731;" fillcolor="#FFFFFF [3201]" filled="t" stroked="t" coordsize="21600,21600" o:gfxdata="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ZVC/C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1BCD5C6C">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区动物疾控中心派出人员现场诊断、流行病学调查和采样送检，怀疑重大动物疫病</w:t>
                        </w:r>
                      </w:p>
                    </w:txbxContent>
                  </v:textbox>
                </v:shape>
                <v:shape id="_x0000_s1026" o:spid="_x0000_s1026" o:spt="32" type="#_x0000_t32" style="position:absolute;left:20784;top:350962;flip:x;height:380;width:6;" filled="f" stroked="t" coordsize="21600,21600" o:gfxdata="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rRGeugAAANo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shape id="_x0000_s1026" o:spid="_x0000_s1026" o:spt="202" type="#_x0000_t202" style="position:absolute;left:19453;top:351363;height:618;width:2587;" fillcolor="#FFFFFF [3201]" filled="t" stroked="t" coordsize="21600,21600" o:gfxdata="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nLMBy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14:paraId="62D53629">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进入工作程序</w:t>
                        </w:r>
                      </w:p>
                    </w:txbxContent>
                  </v:textbox>
                </v:shape>
                <v:group id="_x0000_s1026" o:spid="_x0000_s1026" o:spt="203" style="position:absolute;left:15682;top:352008;height:8603;width:10258;" coordorigin="6542,351858" coordsize="10733,8864" o:gfxdata="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IQwsMvwAAANwAAAAPAAAAAAAAAAEAIAAAACIAAABkcnMvZG93bnJldi54&#10;bWxQSwECFAAUAAAACACHTuJAMy8FnjsAAAA5AAAAFQAAAAAAAAABACAAAAAOAQAAZHJzL2dyb3Vw&#10;c2hhcGV4bWwueG1sUEsFBgAAAAAGAAYAYAEAAMsDAAAAAA==&#10;">
                  <o:lock v:ext="edit" aspectratio="f"/>
                  <v:shape id="直接箭头连接符 9" o:spid="_x0000_s1026" o:spt="32" type="#_x0000_t32" style="position:absolute;left:7910;top:355577;height:493;width:1;" filled="f" stroked="t" coordsize="21600,21600" o:gfxdata="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C1KYrsAAADb&#10;AAAADwAAAAAAAAABACAAAAAiAAAAZHJzL2Rvd25yZXYueG1sUEsBAhQAFAAAAAgAh07iQDMvBZ47&#10;AAAAOQAAABAAAAAAAAAAAQAgAAAACgEAAGRycy9zaGFwZXhtbC54bWxQSwUGAAAAAAYABgBbAQAA&#10;tAMAAAAA&#10;">
                    <v:fill on="f" focussize="0,0"/>
                    <v:stroke weight="1pt" color="#4874CB [3204]" miterlimit="8" joinstyle="miter" endarrow="open"/>
                    <v:imagedata o:title=""/>
                    <o:lock v:ext="edit" aspectratio="f"/>
                  </v:shape>
                  <v:shape id="_x0000_s1026" o:spid="_x0000_s1026" o:spt="32" type="#_x0000_t32" style="position:absolute;left:7815;top:356946;height:467;width:16;" filled="f" stroked="t" coordsize="21600,21600" o:gfxdata="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EgMbW8AAAA&#10;2wAAAA8AAAAAAAAAAQAgAAAAIgAAAGRycy9kb3ducmV2LnhtbFBLAQIUABQAAAAIAIdO4kAzLwWe&#10;OwAAADkAAAAQAAAAAAAAAAEAIAAAAAsBAABkcnMvc2hhcGV4bWwueG1sUEsFBgAAAAAGAAYAWwEA&#10;ALUDAAAAAA==&#10;">
                    <v:fill on="f" focussize="0,0"/>
                    <v:stroke weight="1pt" color="#4874CB [3204]" miterlimit="8" joinstyle="miter" endarrow="open"/>
                    <v:imagedata o:title=""/>
                    <o:lock v:ext="edit" aspectratio="f"/>
                  </v:shape>
                  <v:group id="_x0000_s1026" o:spid="_x0000_s1026" o:spt="203" style="position:absolute;left:6542;top:351858;height:8864;width:10733;" coordorigin="18074,352364" coordsize="10733,8864" o:gfxdata="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coDRMvAAAANwAAAAPAAAAAAAAAAEAIAAAACIAAABkcnMvZG93bnJldi54bWxQ&#10;SwECFAAUAAAACACHTuJAMy8FnjsAAAA5AAAAFQAAAAAAAAABACAAAAALAQAAZHJzL2dyb3Vwc2hh&#10;cGV4bWwueG1sUEsFBgAAAAAGAAYAYAEAAMgDAAAAAA==&#10;">
                    <o:lock v:ext="edit" aspectratio="f"/>
                    <v:shape id="文本框 37" o:spid="_x0000_s1026" o:spt="202" type="#_x0000_t202" style="position:absolute;left:18592;top:360578;height:650;width:2720;" fillcolor="#FFFFFF [3201]" filled="t" stroked="t" coordsize="21600,21600" o:gfxdata="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U6Dfg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5E942BD7">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报告市农业农村局</w:t>
                            </w:r>
                          </w:p>
                        </w:txbxContent>
                      </v:textbox>
                    </v:shape>
                    <v:shape id="文本框 38" o:spid="_x0000_s1026" o:spt="202" type="#_x0000_t202" style="position:absolute;left:22395;top:360593;height:565;width:2738;" fillcolor="#FFFFFF [3201]" filled="t" stroked="t" coordsize="21600,21600" o:gfxdata="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7pJJ7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673D8AE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报告区政府</w:t>
                            </w:r>
                          </w:p>
                        </w:txbxContent>
                      </v:textbox>
                    </v:shape>
                    <v:shape id="文本框 39" o:spid="_x0000_s1026" o:spt="202" type="#_x0000_t202" style="position:absolute;left:26330;top:360608;height:493;width:2446;" fillcolor="#FFFFFF [3201]" filled="t" stroked="t" coordsize="21600,21600" o:gfxdata="UEsDBAoAAAAAAIdO4kAAAAAAAAAAAAAAAAAEAAAAZHJzL1BLAwQUAAAACACHTuJApPLxW7QAAADb&#10;AAAADwAAAGRycy9kb3ducmV2LnhtbEVPvQrCMBDeBd8hnOCmaRWKVGNBQRA3tYvb0ZxtsbmUJFp9&#10;ezMIjh/f/6Z4m068yPnWsoJ0noAgrqxuuVZQXg+zFQgfkDV2lknBhzwU2/Fog7m2A5/pdQm1iCHs&#10;c1TQhNDnUvqqIYN+bnviyN2tMxgidLXUDocYbjq5SJJMGmw5NjTY076h6nF5GgXHbBduVOqTXi6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k8vFb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1378D1FD">
                            <w:pPr>
                              <w:jc w:val="center"/>
                              <w:rPr>
                                <w:rFonts w:hint="eastAsia"/>
                                <w:lang w:eastAsia="zh-CN"/>
                              </w:rPr>
                            </w:pPr>
                            <w:r>
                              <w:rPr>
                                <w:rFonts w:hint="eastAsia" w:ascii="仿宋_GB2312" w:hAnsi="仿宋_GB2312" w:eastAsia="仿宋_GB2312" w:cs="仿宋_GB2312"/>
                                <w:sz w:val="28"/>
                                <w:szCs w:val="28"/>
                                <w:lang w:val="en-US" w:eastAsia="zh-CN"/>
                              </w:rPr>
                              <w:t>收集资料、归档</w:t>
                            </w:r>
                          </w:p>
                        </w:txbxContent>
                      </v:textbox>
                    </v:shape>
                    <v:shape id="_x0000_s1026" o:spid="_x0000_s1026" o:spt="202" type="#_x0000_t202" style="position:absolute;left:18274;top:357901;height:618;width:2325;" fillcolor="#FFFFFF [3201]" filled="t" stroked="t" coordsize="21600,21600" o:gfxdata="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h9R8L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78B1045D">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收集工作动态</w:t>
                            </w:r>
                          </w:p>
                        </w:txbxContent>
                      </v:textbox>
                    </v:shape>
                    <v:shape id="_x0000_s1026" o:spid="_x0000_s1026" o:spt="202" type="#_x0000_t202" style="position:absolute;left:22115;top:357880;height:692;width:2997;" fillcolor="#FFFFFF [3201]" filled="t" stroked="t" coordsize="21600,21600" o:gfxdata="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AHSjh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2C0A2FC1">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派出工作组指导处置</w:t>
                            </w:r>
                          </w:p>
                        </w:txbxContent>
                      </v:textbox>
                    </v:shape>
                    <v:line id="直接连接符 8" o:spid="_x0000_s1026" o:spt="20" style="position:absolute;left:19442;top:356102;height:0;width:8213;" filled="f" stroked="t" coordsize="21600,21600" o:gfxdata="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J5X+K8AAAA&#10;2wAAAA8AAAAAAAAAAQAgAAAAIgAAAGRycy9kb3ducmV2LnhtbFBLAQIUABQAAAAIAIdO4kAzLwWe&#10;OwAAADkAAAAQAAAAAAAAAAEAIAAAAAsBAABkcnMvc2hhcGV4bWwueG1sUEsFBgAAAAAGAAYAWwEA&#10;ALUDAAAAAA==&#10;">
                      <v:fill on="f" focussize="0,0"/>
                      <v:stroke weight="1pt" color="#4874CB [3204]" miterlimit="8" joinstyle="miter"/>
                      <v:imagedata o:title=""/>
                      <o:lock v:ext="edit" aspectratio="f"/>
                    </v:line>
                    <v:shape id="_x0000_s1026" o:spid="_x0000_s1026" o:spt="202" type="#_x0000_t202" style="position:absolute;left:18239;top:356570;height:864;width:2363;" fillcolor="#FFFFFF [3201]" filled="t" stroked="t" coordsize="21600,21600" o:gfxdata="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HId/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1AD20FC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指挥部办公室启动预案</w:t>
                            </w:r>
                          </w:p>
                        </w:txbxContent>
                      </v:textbox>
                    </v:shape>
                    <v:shape id="_x0000_s1026" o:spid="_x0000_s1026" o:spt="32" type="#_x0000_t32" style="position:absolute;left:23614;top:357335;flip:x;height:545;width:13;" filled="f" stroked="t" coordsize="21600,21600" o:gfxdata="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leNvQAA&#10;ANwAAAAPAAAAAAAAAAEAIAAAACIAAABkcnMvZG93bnJldi54bWxQSwECFAAUAAAACACHTuJAMy8F&#10;njsAAAA5AAAAEAAAAAAAAAABACAAAAAMAQAAZHJzL3NoYXBleG1sLnhtbFBLBQYAAAAABgAGAFsB&#10;AAC2AwAAAAA=&#10;">
                      <v:fill on="f" focussize="0,0"/>
                      <v:stroke weight="1pt" color="#4874CB [3204]" miterlimit="8" joinstyle="miter" endarrow="open"/>
                      <v:imagedata o:title=""/>
                      <o:lock v:ext="edit" aspectratio="f"/>
                    </v:shape>
                    <v:shape id="_x0000_s1026" o:spid="_x0000_s1026" o:spt="202" type="#_x0000_t202" style="position:absolute;left:22211;top:356584;height:751;width:2831;" fillcolor="#FFFFFF [3201]" filled="t" stroked="t" coordsize="21600,21600" o:gfxdata="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gryT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06B49850">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成员单位内部通报</w:t>
                            </w:r>
                          </w:p>
                        </w:txbxContent>
                      </v:textbox>
                    </v:shape>
                    <v:shape id="_x0000_s1026" o:spid="_x0000_s1026" o:spt="202" type="#_x0000_t202" style="position:absolute;left:26444;top:356562;height:918;width:2363;" fillcolor="#FFFFFF [3201]" filled="t" stroked="t" coordsize="21600,21600" o:gfxdata="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BUCLk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2491314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向区政府和市农业农村局报告</w:t>
                            </w:r>
                          </w:p>
                          <w:p w14:paraId="3C23E06B">
                            <w:pPr>
                              <w:rPr>
                                <w:rFonts w:hint="eastAsia"/>
                                <w:lang w:eastAsia="zh-CN"/>
                              </w:rPr>
                            </w:pPr>
                          </w:p>
                        </w:txbxContent>
                      </v:textbox>
                    </v:shape>
                    <v:shape id="_x0000_s1026" o:spid="_x0000_s1026" o:spt="32" type="#_x0000_t32" style="position:absolute;left:23674;top:358548;height:527;width:10;" filled="f" stroked="t" coordsize="21600,21600" o:gfxdata="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vGOg7sAAADc&#10;AAAADwAAAAAAAAABACAAAAAiAAAAZHJzL2Rvd25yZXYueG1sUEsBAhQAFAAAAAgAh07iQDMvBZ47&#10;AAAAOQAAABAAAAAAAAAAAQAgAAAACgEAAGRycy9zaGFwZXhtbC54bWxQSwUGAAAAAAYABgBbAQAA&#10;tAMAAAAA&#10;">
                      <v:fill on="f" focussize="0,0"/>
                      <v:stroke weight="1pt" color="#4874CB [3204]" miterlimit="8" joinstyle="miter" endarrow="open"/>
                      <v:imagedata o:title=""/>
                      <o:lock v:ext="edit" aspectratio="f"/>
                    </v:shape>
                    <v:shape id="_x0000_s1026" o:spid="_x0000_s1026" o:spt="202" type="#_x0000_t202" style="position:absolute;left:22189;top:359077;height:618;width:2880;" fillcolor="#FFFFFF [3201]" filled="t" stroked="t" coordsize="21600,21600" o:gfxdata="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vUY16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442E40F2">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拔除疫点</w:t>
                            </w:r>
                          </w:p>
                        </w:txbxContent>
                      </v:textbox>
                    </v:shape>
                    <v:group id="_x0000_s1026" o:spid="_x0000_s1026" o:spt="203" style="position:absolute;left:19493;top:359651;height:953;width:8212;" coordorigin="19460,355980" coordsize="8212,1365" o:gfxdata="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Nmp3RvwAAANwAAAAPAAAAAAAAAAEAIAAAACIAAABkcnMvZG93bnJldi54&#10;bWxQSwECFAAUAAAACACHTuJAMy8FnjsAAAA5AAAAFQAAAAAAAAABACAAAAAOAQAAZHJzL2dyb3Vw&#10;c2hhcGV4bWwueG1sUEsFBgAAAAAGAAYAYAEAAMsDAAAAAA==&#10;">
                      <o:lock v:ext="edit" aspectratio="f"/>
                      <v:shape id="直接箭头连接符 7" o:spid="_x0000_s1026" o:spt="32" type="#_x0000_t32" style="position:absolute;left:23640;top:355980;flip:x;height:590;width:3;" filled="f" stroked="t" coordsize="21600,21600" o:gfxdata="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v4P4QugAAANw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group id="组合 40" o:spid="_x0000_s1026" o:spt="203" style="position:absolute;left:19460;top:356621;height:724;width:8212;" coordorigin="19516,357183" coordsize="8212,724" o:gfxdata="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gSmPb0AAADcAAAADwAAAAAAAAABACAAAAAiAAAAZHJzL2Rvd25yZXYueG1s&#10;UEsBAhQAFAAAAAgAh07iQDMvBZ47AAAAOQAAABUAAAAAAAAAAQAgAAAADAEAAGRycy9ncm91cHNo&#10;YXBleG1sLnhtbFBLBQYAAAAABgAGAGABAADJAwAAAAA=&#10;">
                        <o:lock v:ext="edit" aspectratio="f"/>
                        <v:line id="直接连接符 8" o:spid="_x0000_s1026" o:spt="20" style="position:absolute;left:19516;top:357201;height:0;width:8213;" filled="f" stroked="t" coordsize="21600,21600" o:gfxdata="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rgfOugAAANwA&#10;AAAPAAAAAAAAAAEAIAAAACIAAABkcnMvZG93bnJldi54bWxQSwECFAAUAAAACACHTuJAMy8FnjsA&#10;AAA5AAAAEAAAAAAAAAABACAAAAAJAQAAZHJzL3NoYXBleG1sLnhtbFBLBQYAAAAABgAGAFsBAACz&#10;AwAAAAA=&#10;">
                          <v:fill on="f" focussize="0,0"/>
                          <v:stroke weight="1pt" color="#4874CB [3204]" miterlimit="8" joinstyle="miter"/>
                          <v:imagedata o:title=""/>
                          <o:lock v:ext="edit" aspectratio="f"/>
                        </v:line>
                        <v:shape id="直接箭头连接符 9" o:spid="_x0000_s1026" o:spt="32" type="#_x0000_t32" style="position:absolute;left:19534;top:357201;height:707;width:1;" filled="f" stroked="t" coordsize="21600,21600" o:gfxdata="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IxD0ugAAANw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shape id="直接箭头连接符 10" o:spid="_x0000_s1026" o:spt="32" type="#_x0000_t32" style="position:absolute;left:23678;top:357183;flip:x;height:654;width:14;" filled="f" stroked="t" coordsize="21600,21600" o:gfxdata="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Db+BO5AAAA3AAA&#10;AA8AAAAAAAAAAQAgAAAAIgAAAGRycy9kb3ducmV2LnhtbFBLAQIUABQAAAAIAIdO4kAzLwWeOwAA&#10;ADkAAAAQAAAAAAAAAAEAIAAAAAgBAABkcnMvc2hhcGV4bWwueG1sUEsFBgAAAAAGAAYAWwEAALID&#10;AAAAAA==&#10;">
                          <v:fill on="f" focussize="0,0"/>
                          <v:stroke weight="1pt" color="#4874CB [3204]" miterlimit="8" joinstyle="miter" endarrow="open"/>
                          <v:imagedata o:title=""/>
                          <o:lock v:ext="edit" aspectratio="f"/>
                        </v:shape>
                        <v:shape id="直接箭头连接符 12" o:spid="_x0000_s1026" o:spt="32" type="#_x0000_t32" style="position:absolute;left:27691;top:357201;flip:x;height:606;width:6;" filled="f" stroked="t" coordsize="21600,21600" o:gfxdata="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AJZmS5AAAA3AAA&#10;AA8AAAAAAAAAAQAgAAAAIgAAAGRycy9kb3ducmV2LnhtbFBLAQIUABQAAAAIAIdO4kAzLwWeOwAA&#10;ADkAAAAQAAAAAAAAAAEAIAAAAAgBAABkcnMvc2hhcGV4bWwueG1sUEsFBgAAAAAGAAYAWwEAALID&#10;AAAAAA==&#10;">
                          <v:fill on="f" focussize="0,0"/>
                          <v:stroke weight="1pt" color="#4874CB [3204]" miterlimit="8" joinstyle="miter" endarrow="open"/>
                          <v:imagedata o:title=""/>
                          <o:lock v:ext="edit" aspectratio="f"/>
                        </v:shape>
                      </v:group>
                    </v:group>
                    <v:shape id="_x0000_s1026" o:spid="_x0000_s1026" o:spt="202" type="#_x0000_t202" style="position:absolute;left:22612;top:354962;height:694;width:2119;" fillcolor="#FFFFFF [3201]" filled="t" stroked="t" coordsize="21600,21600" o:gfxdata="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RJ4F8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14:paraId="6532573B">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接到确认报告</w:t>
                            </w:r>
                          </w:p>
                        </w:txbxContent>
                      </v:textbox>
                    </v:shape>
                    <v:shape id="_x0000_s1026" o:spid="_x0000_s1026" o:spt="34" type="#_x0000_t34" style="position:absolute;left:22594;top:353884;flip:y;height:1757;width:398;rotation:-5898240f;" filled="f" stroked="t" coordsize="21600,21600" o:gfxdata="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p62pvQAA&#10;ANsAAAAPAAAAAAAAAAEAIAAAACIAAABkcnMvZG93bnJldi54bWxQSwECFAAUAAAACACHTuJAMy8F&#10;njsAAAA5AAAAEAAAAAAAAAABACAAAAAMAQAAZHJzL3NoYXBleG1sLnhtbFBLBQYAAAAABgAGAFsB&#10;AAC2AwAAAAA=&#10;" adj="10829">
                      <v:fill on="f" focussize="0,0"/>
                      <v:stroke weight="1pt" color="#4874CB [3204]" miterlimit="8" joinstyle="miter" endarrow="open"/>
                      <v:imagedata o:title=""/>
                      <o:lock v:ext="edit" aspectratio="f"/>
                    </v:shape>
                    <v:shape id="_x0000_s1026" o:spid="_x0000_s1026" o:spt="202" type="#_x0000_t202" style="position:absolute;left:18074;top:353198;height:1297;width:2363;" fillcolor="#FFFFFF [3201]" filled="t" stroked="t" coordsize="21600,21600" o:gfxdata="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bF4/V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20AEABDD">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区动物疾控中心诊断、采样、送检</w:t>
                            </w:r>
                          </w:p>
                        </w:txbxContent>
                      </v:textbox>
                    </v:shape>
                    <v:shape id="_x0000_s1026" o:spid="_x0000_s1026" o:spt="202" type="#_x0000_t202" style="position:absolute;left:20713;top:353225;height:1339;width:2402;" fillcolor="#FFFFFF [3201]" filled="t" stroked="t" coordsize="21600,21600" o:gfxdata="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0WypO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06417444">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区动物疾控中心向市动物疾控中心报告并送样</w:t>
                            </w:r>
                          </w:p>
                        </w:txbxContent>
                      </v:textbox>
                    </v:shape>
                    <v:shape id="直接箭头连接符 7" o:spid="_x0000_s1026" o:spt="32" type="#_x0000_t32" style="position:absolute;left:23603;top:355641;flip:x;height:412;width:3;" filled="f" stroked="t" coordsize="21600,21600" o:gfxdata="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5NLtUbgAAADbAAAA&#10;DwAAAAAAAAABACAAAAAiAAAAZHJzL2Rvd25yZXYueG1sUEsBAhQAFAAAAAgAh07iQDMvBZ47AAAA&#10;OQAAABAAAAAAAAAAAQAgAAAABwEAAGRycy9zaGFwZXhtbC54bWxQSwUGAAAAAAYABgBbAQAAsQMA&#10;AAAA&#10;">
                      <v:fill on="f" focussize="0,0"/>
                      <v:stroke weight="1pt" color="#4874CB [3204]" miterlimit="8" joinstyle="miter" endarrow="open"/>
                      <v:imagedata o:title=""/>
                      <o:lock v:ext="edit" aspectratio="f"/>
                    </v:shape>
                    <v:shape id="_x0000_s1026" o:spid="_x0000_s1026" o:spt="202" type="#_x0000_t202" style="position:absolute;left:23428;top:353252;height:1304;width:2363;" fillcolor="#FFFFFF [3201]" filled="t" stroked="t" coordsize="21600,21600" o:gfxdata="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EibQ5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27B2D79B">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区动物疾控中心向区农业农村局报告</w:t>
                            </w:r>
                          </w:p>
                        </w:txbxContent>
                      </v:textbox>
                    </v:shape>
                    <v:shape id="_x0000_s1026" o:spid="_x0000_s1026" o:spt="202" type="#_x0000_t202" style="position:absolute;left:26106;top:353254;height:1306;width:2361;" fillcolor="#FFFFFF [3201]" filled="t" stroked="t" coordsize="21600,21600" o:gfxdata="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LYCxN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14:paraId="1D4F4F45">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区农业农村局向区政府和市农业农村局报告</w:t>
                            </w:r>
                          </w:p>
                        </w:txbxContent>
                      </v:textbox>
                    </v:shape>
                    <v:shape id="直接箭头连接符 10" o:spid="_x0000_s1026" o:spt="32" type="#_x0000_t32" style="position:absolute;left:23604;top:356145;flip:x;height:456;width:14;" filled="f" stroked="t" coordsize="21600,21600" o:gfxdata="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3GRcLgAAADbAAAA&#10;DwAAAAAAAAABACAAAAAiAAAAZHJzL2Rvd25yZXYueG1sUEsBAhQAFAAAAAgAh07iQDMvBZ47AAAA&#10;OQAAABAAAAAAAAAAAQAgAAAABwEAAGRycy9zaGFwZXhtbC54bWxQSwUGAAAAAAYABgBbAQAAsQMA&#10;AAAA&#10;">
                      <v:fill on="f" focussize="0,0"/>
                      <v:stroke weight="1pt" color="#4874CB [3204]" miterlimit="8" joinstyle="miter" endarrow="open"/>
                      <v:imagedata o:title=""/>
                      <o:lock v:ext="edit" aspectratio="f"/>
                    </v:shape>
                    <v:shape id="直接箭头连接符 12" o:spid="_x0000_s1026" o:spt="32" type="#_x0000_t32" style="position:absolute;left:27637;top:356122;flip:x;height:447;width:14;" filled="f" stroked="t" coordsize="21600,21600" o:gfxdata="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9NOu8AAAA&#10;2wAAAA8AAAAAAAAAAQAgAAAAIgAAAGRycy9kb3ducmV2LnhtbFBLAQIUABQAAAAIAIdO4kAzLwWe&#10;OwAAADkAAAAQAAAAAAAAAAEAIAAAAAsBAABkcnMvc2hhcGV4bWwueG1sUEsFBgAAAAAGAAYAWwEA&#10;ALUDAAAAAA==&#10;">
                      <v:fill on="f" focussize="0,0"/>
                      <v:stroke weight="1pt" color="#4874CB [3204]" miterlimit="8" joinstyle="miter" endarrow="open"/>
                      <v:imagedata o:title=""/>
                      <o:lock v:ext="edit" aspectratio="f"/>
                    </v:shape>
                    <v:shape id="_x0000_s1026" o:spid="_x0000_s1026" o:spt="32" type="#_x0000_t32" style="position:absolute;left:23437;top:352364;flip:x;height:420;width:3;" filled="f" stroked="t" coordsize="21600,21600" o:gfxdata="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5H3he8AAAA&#10;2wAAAA8AAAAAAAAAAQAgAAAAIgAAAGRycy9kb3ducmV2LnhtbFBLAQIUABQAAAAIAIdO4kAzLwWe&#10;OwAAADkAAAAQAAAAAAAAAAEAIAAAAAsBAABkcnMvc2hhcGV4bWwueG1sUEsFBgAAAAAGAAYAWwEA&#10;ALUDAAAAAA==&#10;">
                      <v:fill on="f" focussize="0,0"/>
                      <v:stroke weight="1pt" color="#4874CB [3204]" miterlimit="8" joinstyle="miter" endarrow="open"/>
                      <v:imagedata o:title=""/>
                      <o:lock v:ext="edit" aspectratio="f"/>
                    </v:shape>
                    <v:line id="_x0000_s1026" o:spid="_x0000_s1026" o:spt="20" style="position:absolute;left:19237;top:352749;height:18;width:8062;" filled="f" stroked="t" coordsize="21600,21600" o:gfxdata="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lz+Na8AAAA&#10;2wAAAA8AAAAAAAAAAQAgAAAAIgAAAGRycy9kb3ducmV2LnhtbFBLAQIUABQAAAAIAIdO4kAzLwWe&#10;OwAAADkAAAAQAAAAAAAAAAEAIAAAAAsBAABkcnMvc2hhcGV4bWwueG1sUEsFBgAAAAAGAAYAWwEA&#10;ALUDAAAAAA==&#10;">
                      <v:fill on="f" focussize="0,0"/>
                      <v:stroke weight="1pt" color="#4874CB [3204]" miterlimit="8" joinstyle="miter"/>
                      <v:imagedata o:title=""/>
                      <o:lock v:ext="edit" aspectratio="f"/>
                    </v:line>
                    <v:shape id="_x0000_s1026" o:spid="_x0000_s1026" o:spt="32" type="#_x0000_t32" style="position:absolute;left:19236;top:352749;height:449;width:1;" filled="f" stroked="t" coordsize="21600,21600" o:gfxdata="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ruKLe8AAAA&#10;2wAAAA8AAAAAAAAAAQAgAAAAIgAAAGRycy9kb3ducmV2LnhtbFBLAQIUABQAAAAIAIdO4kAzLwWe&#10;OwAAADkAAAAQAAAAAAAAAAEAIAAAAAsBAABkcnMvc2hhcGV4bWwueG1sUEsFBgAAAAAGAAYAWwEA&#10;ALUDAAAAAA==&#10;">
                      <v:fill on="f" focussize="0,0"/>
                      <v:stroke weight="1pt" color="#4874CB [3204]" miterlimit="8" joinstyle="miter" endarrow="open"/>
                      <v:imagedata o:title=""/>
                      <o:lock v:ext="edit" aspectratio="f"/>
                    </v:shape>
                    <v:shape id="_x0000_s1026" o:spid="_x0000_s1026" o:spt="32" type="#_x0000_t32" style="position:absolute;left:21899;top:352730;height:494;width:15;" filled="f" stroked="t" coordsize="21600,21600" o:gfxdata="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VwE1u8AAAA&#10;2wAAAA8AAAAAAAAAAQAgAAAAIgAAAGRycy9kb3ducmV2LnhtbFBLAQIUABQAAAAIAIdO4kAzLwWe&#10;OwAAADkAAAAQAAAAAAAAAAEAIAAAAAsBAABkcnMvc2hhcGV4bWwueG1sUEsFBgAAAAAGAAYAWwEA&#10;ALUDAAAAAA==&#10;">
                      <v:fill on="f" focussize="0,0"/>
                      <v:stroke weight="1pt" color="#4874CB [3204]" miterlimit="8" joinstyle="miter" endarrow="open"/>
                      <v:imagedata o:title=""/>
                      <o:lock v:ext="edit" aspectratio="f"/>
                    </v:shape>
                    <v:shape id="_x0000_s1026" o:spid="_x0000_s1026" o:spt="32" type="#_x0000_t32" style="position:absolute;left:24599;top:352767;height:485;width:11;" filled="f" stroked="t" coordsize="21600,21600" o:gfxdata="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SrrGugAAANsA&#10;AAAPAAAAAAAAAAEAIAAAACIAAABkcnMvZG93bnJldi54bWxQSwECFAAUAAAACACHTuJAMy8FnjsA&#10;AAA5AAAAEAAAAAAAAAABACAAAAAJAQAAZHJzL3NoYXBleG1sLnhtbFBLBQYAAAAABgAGAFsBAACz&#10;AwAAAAA=&#10;">
                      <v:fill on="f" focussize="0,0"/>
                      <v:stroke weight="1pt" color="#4874CB [3204]" miterlimit="8" joinstyle="miter" endarrow="open"/>
                      <v:imagedata o:title=""/>
                      <o:lock v:ext="edit" aspectratio="f"/>
                    </v:shape>
                    <v:shape id="_x0000_s1026" o:spid="_x0000_s1026" o:spt="32" type="#_x0000_t32" style="position:absolute;left:27287;top:352722;flip:x;height:532;width:16;" filled="f" stroked="t" coordsize="21600,21600" o:gfxdata="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vp61K8AAAA&#10;2wAAAA8AAAAAAAAAAQAgAAAAIgAAAGRycy9kb3ducmV2LnhtbFBLAQIUABQAAAAIAIdO4kAzLwWe&#10;OwAAADkAAAAQAAAAAAAAAAEAIAAAAAsBAABkcnMvc2hhcGV4bWwueG1sUEsFBgAAAAAGAAYAWwEA&#10;ALUDAAAAAA==&#10;">
                      <v:fill on="f" focussize="0,0"/>
                      <v:stroke weight="1pt" color="#4874CB [3204]" miterlimit="8" joinstyle="miter" endarrow="open"/>
                      <v:imagedata o:title=""/>
                      <o:lock v:ext="edit" aspectratio="f"/>
                    </v:shape>
                  </v:group>
                </v:group>
              </v:group>
            </w:pict>
          </mc:Fallback>
        </mc:AlternateContent>
      </w:r>
    </w:p>
    <w:p w14:paraId="5C1BEAA7">
      <w:pPr>
        <w:pStyle w:val="2"/>
        <w:keepNext w:val="0"/>
        <w:keepLines w:val="0"/>
        <w:pageBreakBefore w:val="0"/>
        <w:numPr>
          <w:ilvl w:val="0"/>
          <w:numId w:val="0"/>
        </w:numPr>
        <w:wordWrap/>
        <w:overflowPunct/>
        <w:topLinePunct w:val="0"/>
        <w:bidi w:val="0"/>
        <w:spacing w:line="600" w:lineRule="exact"/>
        <w:ind w:left="0" w:leftChars="0" w:right="0"/>
        <w:jc w:val="center"/>
        <w:outlineLvl w:val="0"/>
        <w:rPr>
          <w:rFonts w:hint="eastAsia" w:ascii="方正小标宋简体" w:hAnsi="方正小标宋简体" w:eastAsia="方正小标宋简体" w:cs="方正小标宋简体"/>
          <w:b w:val="0"/>
          <w:bCs w:val="0"/>
          <w:color w:val="000000" w:themeColor="text1"/>
          <w:spacing w:val="6"/>
          <w:kern w:val="2"/>
          <w:sz w:val="36"/>
          <w:szCs w:val="36"/>
          <w:lang w:val="en-US" w:eastAsia="zh-CN" w:bidi="ar-SA"/>
          <w14:textFill>
            <w14:solidFill>
              <w14:schemeClr w14:val="tx1"/>
            </w14:solidFill>
          </w14:textFill>
        </w:rPr>
      </w:pPr>
    </w:p>
    <w:sectPr>
      <w:pgSz w:w="11860" w:h="16960"/>
      <w:pgMar w:top="2098" w:right="1474" w:bottom="1984" w:left="1587" w:header="0" w:footer="1304"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04F4F">
    <w:pPr>
      <w:spacing w:before="1" w:line="182" w:lineRule="auto"/>
      <w:ind w:left="230"/>
      <w:rPr>
        <w:rFonts w:ascii="宋体" w:hAnsi="宋体" w:eastAsia="宋体" w:cs="宋体"/>
        <w:sz w:val="29"/>
        <w:szCs w:val="29"/>
      </w:rPr>
    </w:pPr>
    <w:r>
      <w:rPr>
        <w:sz w:val="29"/>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7656C4">
                          <w:pPr>
                            <w:pStyle w:val="3"/>
                            <w:rPr>
                              <w:rFonts w:hint="eastAsia" w:ascii="宋体" w:hAnsi="宋体" w:eastAsia="宋体" w:cs="宋体"/>
                              <w:sz w:val="28"/>
                              <w:szCs w:val="36"/>
                            </w:rPr>
                          </w:pPr>
                          <w:r>
                            <w:rPr>
                              <w:rFonts w:hint="eastAsia" w:ascii="宋体" w:hAnsi="宋体" w:eastAsia="宋体" w:cs="宋体"/>
                              <w:sz w:val="28"/>
                              <w:szCs w:val="36"/>
                            </w:rPr>
                            <w:t>—</w:t>
                          </w:r>
                          <w:r>
                            <w:rPr>
                              <w:rFonts w:hint="eastAsia" w:ascii="宋体" w:hAnsi="宋体" w:eastAsia="宋体" w:cs="宋体"/>
                              <w:sz w:val="28"/>
                              <w:szCs w:val="36"/>
                            </w:rPr>
                            <w:fldChar w:fldCharType="begin"/>
                          </w:r>
                          <w:r>
                            <w:rPr>
                              <w:rFonts w:hint="eastAsia" w:ascii="宋体" w:hAnsi="宋体" w:eastAsia="宋体" w:cs="宋体"/>
                              <w:sz w:val="28"/>
                              <w:szCs w:val="36"/>
                            </w:rPr>
                            <w:instrText xml:space="preserve"> PAGE  \* MERGEFORMAT </w:instrText>
                          </w:r>
                          <w:r>
                            <w:rPr>
                              <w:rFonts w:hint="eastAsia" w:ascii="宋体" w:hAnsi="宋体" w:eastAsia="宋体" w:cs="宋体"/>
                              <w:sz w:val="28"/>
                              <w:szCs w:val="36"/>
                            </w:rPr>
                            <w:fldChar w:fldCharType="separate"/>
                          </w:r>
                          <w:r>
                            <w:rPr>
                              <w:rFonts w:hint="eastAsia" w:ascii="宋体" w:hAnsi="宋体" w:eastAsia="宋体" w:cs="宋体"/>
                              <w:sz w:val="28"/>
                              <w:szCs w:val="36"/>
                            </w:rPr>
                            <w:t>1</w:t>
                          </w:r>
                          <w:r>
                            <w:rPr>
                              <w:rFonts w:hint="eastAsia" w:ascii="宋体" w:hAnsi="宋体" w:eastAsia="宋体" w:cs="宋体"/>
                              <w:sz w:val="28"/>
                              <w:szCs w:val="36"/>
                            </w:rPr>
                            <w:fldChar w:fldCharType="end"/>
                          </w:r>
                          <w:r>
                            <w:rPr>
                              <w:rFonts w:hint="eastAsia" w:ascii="宋体" w:hAnsi="宋体" w:eastAsia="宋体" w:cs="宋体"/>
                              <w:sz w:val="28"/>
                              <w:szCs w:val="36"/>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A7656C4">
                    <w:pPr>
                      <w:pStyle w:val="3"/>
                      <w:rPr>
                        <w:rFonts w:hint="eastAsia" w:ascii="宋体" w:hAnsi="宋体" w:eastAsia="宋体" w:cs="宋体"/>
                        <w:sz w:val="28"/>
                        <w:szCs w:val="36"/>
                      </w:rPr>
                    </w:pPr>
                    <w:r>
                      <w:rPr>
                        <w:rFonts w:hint="eastAsia" w:ascii="宋体" w:hAnsi="宋体" w:eastAsia="宋体" w:cs="宋体"/>
                        <w:sz w:val="28"/>
                        <w:szCs w:val="36"/>
                      </w:rPr>
                      <w:t>—</w:t>
                    </w:r>
                    <w:r>
                      <w:rPr>
                        <w:rFonts w:hint="eastAsia" w:ascii="宋体" w:hAnsi="宋体" w:eastAsia="宋体" w:cs="宋体"/>
                        <w:sz w:val="28"/>
                        <w:szCs w:val="36"/>
                      </w:rPr>
                      <w:fldChar w:fldCharType="begin"/>
                    </w:r>
                    <w:r>
                      <w:rPr>
                        <w:rFonts w:hint="eastAsia" w:ascii="宋体" w:hAnsi="宋体" w:eastAsia="宋体" w:cs="宋体"/>
                        <w:sz w:val="28"/>
                        <w:szCs w:val="36"/>
                      </w:rPr>
                      <w:instrText xml:space="preserve"> PAGE  \* MERGEFORMAT </w:instrText>
                    </w:r>
                    <w:r>
                      <w:rPr>
                        <w:rFonts w:hint="eastAsia" w:ascii="宋体" w:hAnsi="宋体" w:eastAsia="宋体" w:cs="宋体"/>
                        <w:sz w:val="28"/>
                        <w:szCs w:val="36"/>
                      </w:rPr>
                      <w:fldChar w:fldCharType="separate"/>
                    </w:r>
                    <w:r>
                      <w:rPr>
                        <w:rFonts w:hint="eastAsia" w:ascii="宋体" w:hAnsi="宋体" w:eastAsia="宋体" w:cs="宋体"/>
                        <w:sz w:val="28"/>
                        <w:szCs w:val="36"/>
                      </w:rPr>
                      <w:t>1</w:t>
                    </w:r>
                    <w:r>
                      <w:rPr>
                        <w:rFonts w:hint="eastAsia" w:ascii="宋体" w:hAnsi="宋体" w:eastAsia="宋体" w:cs="宋体"/>
                        <w:sz w:val="28"/>
                        <w:szCs w:val="36"/>
                      </w:rPr>
                      <w:fldChar w:fldCharType="end"/>
                    </w:r>
                    <w:r>
                      <w:rPr>
                        <w:rFonts w:hint="eastAsia" w:ascii="宋体" w:hAnsi="宋体" w:eastAsia="宋体" w:cs="宋体"/>
                        <w:sz w:val="28"/>
                        <w:szCs w:val="36"/>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MzIxZjg2MWQyZjdlMjM5OWUzODRhYzA0MDVjYWYifQ=="/>
  </w:docVars>
  <w:rsids>
    <w:rsidRoot w:val="0FA4567B"/>
    <w:rsid w:val="059D02DC"/>
    <w:rsid w:val="0C4E73F8"/>
    <w:rsid w:val="0FA4567B"/>
    <w:rsid w:val="1C644396"/>
    <w:rsid w:val="21E52B1F"/>
    <w:rsid w:val="2D67F3CA"/>
    <w:rsid w:val="30756DF2"/>
    <w:rsid w:val="311702D2"/>
    <w:rsid w:val="378C4C41"/>
    <w:rsid w:val="37BF3184"/>
    <w:rsid w:val="3A630DC3"/>
    <w:rsid w:val="3B4E29B6"/>
    <w:rsid w:val="3C2A595A"/>
    <w:rsid w:val="3D8E64B9"/>
    <w:rsid w:val="3F5F0B26"/>
    <w:rsid w:val="3FAEBEC0"/>
    <w:rsid w:val="3FDFB14D"/>
    <w:rsid w:val="3FF7E4C9"/>
    <w:rsid w:val="47C5F976"/>
    <w:rsid w:val="4F57B3A4"/>
    <w:rsid w:val="53DF68D7"/>
    <w:rsid w:val="566F4035"/>
    <w:rsid w:val="57D1FCDB"/>
    <w:rsid w:val="5AE75EFD"/>
    <w:rsid w:val="5E7DEEC7"/>
    <w:rsid w:val="5E7F2483"/>
    <w:rsid w:val="5F3F97F4"/>
    <w:rsid w:val="5F7EA401"/>
    <w:rsid w:val="67BF6B96"/>
    <w:rsid w:val="67EB1C2D"/>
    <w:rsid w:val="6BDB00A1"/>
    <w:rsid w:val="6DFF18F1"/>
    <w:rsid w:val="6EE3A27A"/>
    <w:rsid w:val="6EF7C6FA"/>
    <w:rsid w:val="6FEF78EC"/>
    <w:rsid w:val="739D2B66"/>
    <w:rsid w:val="739E27EF"/>
    <w:rsid w:val="73DFF4F8"/>
    <w:rsid w:val="777FC462"/>
    <w:rsid w:val="77A7B673"/>
    <w:rsid w:val="797FD9D2"/>
    <w:rsid w:val="79DF6833"/>
    <w:rsid w:val="7B1D56B2"/>
    <w:rsid w:val="7BBEDAB4"/>
    <w:rsid w:val="7BCF0A3E"/>
    <w:rsid w:val="7BCF5C42"/>
    <w:rsid w:val="7BFE8B01"/>
    <w:rsid w:val="7E7EABCC"/>
    <w:rsid w:val="7EDFD590"/>
    <w:rsid w:val="7EE69845"/>
    <w:rsid w:val="7EEF1CA6"/>
    <w:rsid w:val="7EFF86FF"/>
    <w:rsid w:val="7F3BFF1D"/>
    <w:rsid w:val="7F4DBE8B"/>
    <w:rsid w:val="7FF77000"/>
    <w:rsid w:val="7FFC2E9A"/>
    <w:rsid w:val="7FFD0031"/>
    <w:rsid w:val="7FFD5630"/>
    <w:rsid w:val="9F7BCF7E"/>
    <w:rsid w:val="A3BF24C8"/>
    <w:rsid w:val="A9ED810D"/>
    <w:rsid w:val="AA49A77C"/>
    <w:rsid w:val="AABAC7DC"/>
    <w:rsid w:val="AD3E6DAE"/>
    <w:rsid w:val="AFED1269"/>
    <w:rsid w:val="B2179603"/>
    <w:rsid w:val="B3FA05BA"/>
    <w:rsid w:val="B6FB3CC4"/>
    <w:rsid w:val="B9DDD244"/>
    <w:rsid w:val="BDDF3908"/>
    <w:rsid w:val="BFBE00BE"/>
    <w:rsid w:val="BFC619E0"/>
    <w:rsid w:val="BFF922DE"/>
    <w:rsid w:val="BFFB3360"/>
    <w:rsid w:val="BFFF9470"/>
    <w:rsid w:val="BFFFA297"/>
    <w:rsid w:val="DBDDA2F7"/>
    <w:rsid w:val="DBF2232B"/>
    <w:rsid w:val="DBF38ED3"/>
    <w:rsid w:val="DBFB0B1A"/>
    <w:rsid w:val="DCC8E6AC"/>
    <w:rsid w:val="DFEA9B63"/>
    <w:rsid w:val="DFFB2184"/>
    <w:rsid w:val="DFFD384F"/>
    <w:rsid w:val="DFFF0CF0"/>
    <w:rsid w:val="E7FFE34B"/>
    <w:rsid w:val="ED63D5F7"/>
    <w:rsid w:val="ED6776EA"/>
    <w:rsid w:val="EEFF0340"/>
    <w:rsid w:val="EF9555E5"/>
    <w:rsid w:val="EFFF4387"/>
    <w:rsid w:val="F1BFFC9D"/>
    <w:rsid w:val="F2E7CE4D"/>
    <w:rsid w:val="F35A0483"/>
    <w:rsid w:val="F56F3748"/>
    <w:rsid w:val="F6BE01ED"/>
    <w:rsid w:val="F6BF6FBD"/>
    <w:rsid w:val="F6BF9DC8"/>
    <w:rsid w:val="F6D3702A"/>
    <w:rsid w:val="F74B2E18"/>
    <w:rsid w:val="F76F4662"/>
    <w:rsid w:val="F9AF690A"/>
    <w:rsid w:val="FB6ACFC4"/>
    <w:rsid w:val="FB7F37D8"/>
    <w:rsid w:val="FBDFEF47"/>
    <w:rsid w:val="FBFEE37D"/>
    <w:rsid w:val="FD9F4537"/>
    <w:rsid w:val="FE3A1410"/>
    <w:rsid w:val="FE5FC28E"/>
    <w:rsid w:val="FED73162"/>
    <w:rsid w:val="FF1F625B"/>
    <w:rsid w:val="FF794AD3"/>
    <w:rsid w:val="FF7FBDAB"/>
    <w:rsid w:val="FFCCABD5"/>
    <w:rsid w:val="FFE78BFF"/>
    <w:rsid w:val="FFEA2FB9"/>
    <w:rsid w:val="FFF3BA1E"/>
    <w:rsid w:val="FFFB0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styleId="6">
    <w:name w:val="toc 2"/>
    <w:basedOn w:val="1"/>
    <w:next w:val="1"/>
    <w:qFormat/>
    <w:uiPriority w:val="0"/>
    <w:pPr>
      <w:ind w:left="420" w:leftChars="200"/>
    </w:pPr>
  </w:style>
  <w:style w:type="paragraph" w:customStyle="1" w:styleId="9">
    <w:name w:val="WPSOffice手动目录 1"/>
    <w:qFormat/>
    <w:uiPriority w:val="0"/>
    <w:pPr>
      <w:ind w:leftChars="0"/>
    </w:pPr>
    <w:rPr>
      <w:rFonts w:ascii="Times New Roman" w:hAnsi="Times New Roman" w:eastAsia="宋体" w:cs="Times New Roman"/>
      <w:sz w:val="20"/>
      <w:szCs w:val="20"/>
    </w:rPr>
  </w:style>
  <w:style w:type="paragraph" w:customStyle="1" w:styleId="10">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16989</Words>
  <Characters>17362</Characters>
  <Lines>0</Lines>
  <Paragraphs>0</Paragraphs>
  <TotalTime>46</TotalTime>
  <ScaleCrop>false</ScaleCrop>
  <LinksUpToDate>false</LinksUpToDate>
  <CharactersWithSpaces>17510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2024-04-29T23:48:00Z</dcterms:created>
  <dc:creator>Administrator</dc:creator>
  <cp:lastModifiedBy>。。</cp:lastModifiedBy>
  <cp:lastPrinted>2024-06-17T17:27:00Z</cp:lastPrinted>
  <dcterms:modified xsi:type="dcterms:W3CDTF">2024-07-12T01:42:01Z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5668A2695A063EC9610B2E6683CADFE6</vt:lpwstr>
  </property>
</Properties>
</file>