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F989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附件6：</w:t>
      </w:r>
    </w:p>
    <w:p w14:paraId="53888EE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热点网格S1578443区域污染源分布图</w:t>
      </w:r>
    </w:p>
    <w:p w14:paraId="2F5B24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sz w:val="30"/>
          <w:szCs w:val="30"/>
          <w:lang w:eastAsia="zh-CN"/>
        </w:rPr>
        <w:drawing>
          <wp:inline distT="0" distB="0" distL="114300" distR="114300">
            <wp:extent cx="5559425" cy="4169410"/>
            <wp:effectExtent l="0" t="0" r="3175" b="2540"/>
            <wp:docPr id="6" name="图片 6" descr="451304755d1a6d8add6a6108b7a2d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51304755d1a6d8add6a6108b7a2d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9425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C6D1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西安古都新型建材有限公司；2.徐杨建兴建材厂；3.老鸹撒；4.陕甘驴肉馆；5.西安昊通机械有限公司；6.西安市临潼区通瑞机械加工厂；7.百姓食府；8.麻辣兔；9.志刚机械制造有限公司；10.老桥头饭庄；11.西延高铁项目14标段2号拌合站。</w:t>
      </w:r>
    </w:p>
    <w:p w14:paraId="28FC2C3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22E1683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5BEEE1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0CC9DE7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1BA03B0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6070351AA0AB4B0EAF3CD4FF061937DE_13</vt:lpwstr>
  </property>
  <property fmtid="{D5CDD505-2E9C-101B-9397-08002B2CF9AE}" pid="4" name="KSOTemplateDocerSaveRecord">
    <vt:lpwstr>eyJoZGlkIjoiOTA1OTQ1NjRiM2Y4YTEwNjZhOTE0YzU1YjRmNTgxNGQifQ==</vt:lpwstr>
  </property>
</Properties>
</file>