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D5B1F4">
      <w:pPr>
        <w:pStyle w:val="2"/>
        <w:widowControl w:val="0"/>
        <w:kinsoku/>
        <w:autoSpaceDE/>
        <w:autoSpaceDN/>
        <w:spacing w:line="600" w:lineRule="exact"/>
        <w:jc w:val="center"/>
        <w:rPr>
          <w:rFonts w:ascii="Times New Roman" w:hAnsi="Times New Roman" w:eastAsia="方正小标宋简体" w:cs="Times New Roman"/>
          <w:color w:val="000000" w:themeColor="text1"/>
          <w:spacing w:val="-6"/>
          <w:sz w:val="44"/>
          <w:szCs w:val="44"/>
          <w:lang w:eastAsia="zh-CN"/>
        </w:rPr>
      </w:pPr>
      <w:r>
        <w:rPr>
          <w:rFonts w:ascii="Times New Roman" w:hAnsi="方正小标宋简体" w:eastAsia="方正小标宋简体" w:cs="Times New Roman"/>
          <w:color w:val="000000" w:themeColor="text1"/>
          <w:spacing w:val="-6"/>
          <w:sz w:val="44"/>
          <w:szCs w:val="44"/>
          <w:lang w:eastAsia="zh-CN"/>
        </w:rPr>
        <w:t>西安市临潼区推进实现</w:t>
      </w:r>
      <w:r>
        <w:rPr>
          <w:rFonts w:ascii="Times New Roman" w:hAnsi="Times New Roman" w:eastAsia="方正小标宋简体" w:cs="Times New Roman"/>
          <w:color w:val="000000" w:themeColor="text1"/>
          <w:spacing w:val="-6"/>
          <w:sz w:val="44"/>
          <w:szCs w:val="44"/>
          <w:lang w:eastAsia="zh-CN"/>
        </w:rPr>
        <w:t>“</w:t>
      </w:r>
      <w:r>
        <w:rPr>
          <w:rFonts w:ascii="Times New Roman" w:hAnsi="方正小标宋简体" w:eastAsia="方正小标宋简体" w:cs="Times New Roman"/>
          <w:color w:val="000000" w:themeColor="text1"/>
          <w:spacing w:val="-6"/>
          <w:sz w:val="44"/>
          <w:szCs w:val="44"/>
          <w:lang w:eastAsia="zh-CN"/>
        </w:rPr>
        <w:t>十四五</w:t>
      </w:r>
      <w:r>
        <w:rPr>
          <w:rFonts w:ascii="Times New Roman" w:hAnsi="Times New Roman" w:eastAsia="方正小标宋简体" w:cs="Times New Roman"/>
          <w:color w:val="000000" w:themeColor="text1"/>
          <w:spacing w:val="-6"/>
          <w:sz w:val="44"/>
          <w:szCs w:val="44"/>
          <w:lang w:eastAsia="zh-CN"/>
        </w:rPr>
        <w:t>”</w:t>
      </w:r>
      <w:r>
        <w:rPr>
          <w:rFonts w:ascii="Times New Roman" w:hAnsi="方正小标宋简体" w:eastAsia="方正小标宋简体" w:cs="Times New Roman"/>
          <w:color w:val="000000" w:themeColor="text1"/>
          <w:spacing w:val="-6"/>
          <w:sz w:val="44"/>
          <w:szCs w:val="44"/>
          <w:lang w:eastAsia="zh-CN"/>
        </w:rPr>
        <w:t>空气质量</w:t>
      </w:r>
    </w:p>
    <w:p w14:paraId="64F8BC7C">
      <w:pPr>
        <w:pStyle w:val="2"/>
        <w:widowControl w:val="0"/>
        <w:kinsoku/>
        <w:autoSpaceDE/>
        <w:autoSpaceDN/>
        <w:spacing w:line="600" w:lineRule="exact"/>
        <w:jc w:val="center"/>
        <w:rPr>
          <w:rFonts w:ascii="Times New Roman" w:hAnsi="Times New Roman" w:eastAsia="方正小标宋简体" w:cs="Times New Roman"/>
          <w:color w:val="000000" w:themeColor="text1"/>
          <w:spacing w:val="-6"/>
          <w:sz w:val="44"/>
          <w:szCs w:val="44"/>
          <w:lang w:eastAsia="zh-CN"/>
        </w:rPr>
      </w:pPr>
      <w:r>
        <w:rPr>
          <w:rFonts w:ascii="Times New Roman" w:hAnsi="方正小标宋简体" w:eastAsia="方正小标宋简体" w:cs="Times New Roman"/>
          <w:color w:val="000000" w:themeColor="text1"/>
          <w:spacing w:val="-6"/>
          <w:sz w:val="44"/>
          <w:szCs w:val="44"/>
          <w:lang w:eastAsia="zh-CN"/>
        </w:rPr>
        <w:t>目标暨大气污染治理专项行动</w:t>
      </w:r>
    </w:p>
    <w:p w14:paraId="421D1D2B">
      <w:pPr>
        <w:pStyle w:val="2"/>
        <w:widowControl w:val="0"/>
        <w:kinsoku/>
        <w:autoSpaceDE/>
        <w:autoSpaceDN/>
        <w:spacing w:line="600" w:lineRule="exact"/>
        <w:jc w:val="center"/>
        <w:rPr>
          <w:rFonts w:ascii="Times New Roman" w:hAnsi="Times New Roman" w:eastAsia="仿宋_GB2312" w:cs="Times New Roman"/>
          <w:color w:val="000000" w:themeColor="text1"/>
          <w:spacing w:val="-6"/>
          <w:sz w:val="32"/>
          <w:szCs w:val="32"/>
          <w:lang w:eastAsia="zh-CN"/>
        </w:rPr>
      </w:pPr>
      <w:r>
        <w:rPr>
          <w:rFonts w:ascii="Times New Roman" w:hAnsi="Times New Roman" w:eastAsia="方正小标宋简体" w:cs="Times New Roman"/>
          <w:color w:val="000000" w:themeColor="text1"/>
          <w:spacing w:val="-6"/>
          <w:sz w:val="44"/>
          <w:szCs w:val="44"/>
          <w:lang w:eastAsia="zh-CN"/>
        </w:rPr>
        <w:t>2025</w:t>
      </w:r>
      <w:r>
        <w:rPr>
          <w:rFonts w:ascii="Times New Roman" w:hAnsi="方正小标宋简体" w:eastAsia="方正小标宋简体" w:cs="Times New Roman"/>
          <w:color w:val="000000" w:themeColor="text1"/>
          <w:spacing w:val="-6"/>
          <w:sz w:val="44"/>
          <w:szCs w:val="44"/>
          <w:lang w:eastAsia="zh-CN"/>
        </w:rPr>
        <w:t>年工作方案</w:t>
      </w:r>
      <w:bookmarkStart w:id="0" w:name="_GoBack"/>
      <w:bookmarkEnd w:id="0"/>
    </w:p>
    <w:p w14:paraId="4BB44F99">
      <w:pPr>
        <w:widowControl w:val="0"/>
        <w:kinsoku/>
        <w:autoSpaceDE/>
        <w:autoSpaceDN/>
        <w:spacing w:line="600" w:lineRule="exact"/>
        <w:jc w:val="both"/>
        <w:rPr>
          <w:rFonts w:ascii="Times New Roman" w:hAnsi="Times New Roman" w:eastAsia="仿宋_GB2312" w:cs="Times New Roman"/>
          <w:color w:val="000000" w:themeColor="text1"/>
          <w:spacing w:val="-6"/>
          <w:sz w:val="32"/>
          <w:szCs w:val="32"/>
          <w:lang w:eastAsia="zh-CN"/>
        </w:rPr>
      </w:pPr>
    </w:p>
    <w:p w14:paraId="1DFF8092">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为全面贯彻落实《陕西省人民政府关于深化大气污染治理推进实现“十四五”空气质量目标的实施意见》（陕政发〔2024〕6号），稳步提升我区大气环境质量，努力推进高质量发展，按照《临潼区大气污染治理专项行动方案（2023—2027年）》安排，结合我区工作实际，制定本方案。</w:t>
      </w:r>
    </w:p>
    <w:p w14:paraId="07B8E472">
      <w:pPr>
        <w:widowControl w:val="0"/>
        <w:kinsoku/>
        <w:autoSpaceDE/>
        <w:autoSpaceDN/>
        <w:spacing w:line="600" w:lineRule="exact"/>
        <w:ind w:firstLine="616" w:firstLineChars="200"/>
        <w:jc w:val="both"/>
        <w:outlineLvl w:val="0"/>
        <w:rPr>
          <w:rFonts w:ascii="Times New Roman" w:hAnsi="Times New Roman" w:eastAsia="黑体" w:cs="Times New Roman"/>
          <w:color w:val="000000" w:themeColor="text1"/>
          <w:spacing w:val="-6"/>
          <w:sz w:val="32"/>
          <w:szCs w:val="32"/>
          <w:lang w:eastAsia="zh-CN"/>
        </w:rPr>
      </w:pPr>
      <w:r>
        <w:rPr>
          <w:rFonts w:ascii="Times New Roman" w:hAnsi="黑体" w:eastAsia="黑体" w:cs="Times New Roman"/>
          <w:color w:val="000000" w:themeColor="text1"/>
          <w:spacing w:val="-6"/>
          <w:sz w:val="32"/>
          <w:szCs w:val="32"/>
          <w:lang w:eastAsia="zh-CN"/>
        </w:rPr>
        <w:t>一、总体要求</w:t>
      </w:r>
    </w:p>
    <w:p w14:paraId="09D10AA6">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以改善空气质量为核心，以减少重污染天气和解决人民群众身边的突出大气环境问题为重点，以降低细颗粒物（PM</w:t>
      </w:r>
      <w:r>
        <w:rPr>
          <w:rFonts w:ascii="Times New Roman" w:hAnsi="Times New Roman" w:eastAsia="仿宋_GB2312" w:cs="Times New Roman"/>
          <w:color w:val="000000" w:themeColor="text1"/>
          <w:spacing w:val="-6"/>
          <w:sz w:val="32"/>
          <w:szCs w:val="32"/>
          <w:vertAlign w:val="subscript"/>
          <w:lang w:eastAsia="zh-CN"/>
        </w:rPr>
        <w:t>2.5</w:t>
      </w:r>
      <w:r>
        <w:rPr>
          <w:rFonts w:ascii="Times New Roman" w:hAnsi="Times New Roman" w:eastAsia="仿宋_GB2312" w:cs="Times New Roman"/>
          <w:color w:val="000000" w:themeColor="text1"/>
          <w:spacing w:val="-6"/>
          <w:sz w:val="32"/>
          <w:szCs w:val="32"/>
          <w:lang w:eastAsia="zh-CN"/>
        </w:rPr>
        <w:t>）浓度为主线，强化源头管控、多污染物协同控制和区域污染协同治理，持续优化调整产业、能源、供热、交通运输结构，深入打好大气污染治理攻坚战，推进实现“十四五”空气质量目标。</w:t>
      </w:r>
    </w:p>
    <w:p w14:paraId="66E4998A">
      <w:pPr>
        <w:widowControl w:val="0"/>
        <w:kinsoku/>
        <w:autoSpaceDE/>
        <w:autoSpaceDN/>
        <w:spacing w:line="600" w:lineRule="exact"/>
        <w:ind w:firstLine="616" w:firstLineChars="200"/>
        <w:jc w:val="both"/>
        <w:outlineLvl w:val="0"/>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2025年，PM</w:t>
      </w:r>
      <w:r>
        <w:rPr>
          <w:rFonts w:ascii="Times New Roman" w:hAnsi="Times New Roman" w:eastAsia="仿宋_GB2312" w:cs="Times New Roman"/>
          <w:color w:val="000000" w:themeColor="text1"/>
          <w:spacing w:val="-6"/>
          <w:sz w:val="32"/>
          <w:szCs w:val="32"/>
          <w:vertAlign w:val="subscript"/>
          <w:lang w:eastAsia="zh-CN"/>
        </w:rPr>
        <w:t>2.5</w:t>
      </w:r>
      <w:r>
        <w:rPr>
          <w:rFonts w:ascii="Times New Roman" w:hAnsi="Times New Roman" w:eastAsia="仿宋_GB2312" w:cs="Times New Roman"/>
          <w:color w:val="000000" w:themeColor="text1"/>
          <w:spacing w:val="-6"/>
          <w:sz w:val="32"/>
          <w:szCs w:val="32"/>
          <w:lang w:eastAsia="zh-CN"/>
        </w:rPr>
        <w:t>浓度不超过40微克/立方米，优良天数不少于268天，力争完成市上下达我市重污染天数控制指标。</w:t>
      </w:r>
    </w:p>
    <w:p w14:paraId="75A8B224">
      <w:pPr>
        <w:widowControl w:val="0"/>
        <w:kinsoku/>
        <w:autoSpaceDE/>
        <w:autoSpaceDN/>
        <w:spacing w:line="600" w:lineRule="exact"/>
        <w:ind w:firstLine="616" w:firstLineChars="200"/>
        <w:jc w:val="both"/>
        <w:outlineLvl w:val="0"/>
        <w:rPr>
          <w:rFonts w:ascii="Times New Roman" w:hAnsi="Times New Roman" w:eastAsia="黑体" w:cs="Times New Roman"/>
          <w:color w:val="000000" w:themeColor="text1"/>
          <w:spacing w:val="-6"/>
          <w:sz w:val="32"/>
          <w:szCs w:val="32"/>
          <w:lang w:eastAsia="zh-CN"/>
        </w:rPr>
      </w:pPr>
      <w:r>
        <w:rPr>
          <w:rFonts w:ascii="Times New Roman" w:hAnsi="黑体" w:eastAsia="黑体" w:cs="Times New Roman"/>
          <w:color w:val="000000" w:themeColor="text1"/>
          <w:spacing w:val="-6"/>
          <w:sz w:val="32"/>
          <w:szCs w:val="32"/>
          <w:lang w:eastAsia="zh-CN"/>
        </w:rPr>
        <w:t>二、重点任务</w:t>
      </w:r>
    </w:p>
    <w:p w14:paraId="1FE7007C">
      <w:pPr>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楷体_GB2312" w:eastAsia="楷体_GB2312" w:cs="Times New Roman"/>
          <w:color w:val="000000" w:themeColor="text1"/>
          <w:spacing w:val="-6"/>
          <w:sz w:val="32"/>
          <w:szCs w:val="32"/>
          <w:lang w:eastAsia="zh-CN"/>
        </w:rPr>
        <w:t>（一）推动结构调整</w:t>
      </w:r>
    </w:p>
    <w:p w14:paraId="6E4003C9">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1.能源消费结构调整</w:t>
      </w:r>
    </w:p>
    <w:p w14:paraId="67AFDA34">
      <w:pPr>
        <w:widowControl w:val="0"/>
        <w:kinsoku/>
        <w:autoSpaceDE/>
        <w:autoSpaceDN/>
        <w:spacing w:line="600" w:lineRule="exact"/>
        <w:ind w:firstLine="616" w:firstLineChars="200"/>
        <w:jc w:val="both"/>
        <w:outlineLvl w:val="0"/>
        <w:rPr>
          <w:rFonts w:ascii="Times New Roman" w:hAnsi="Times New Roman" w:eastAsia="仿宋_GB2312" w:cs="Times New Roman"/>
          <w:color w:val="000000" w:themeColor="text1"/>
          <w:spacing w:val="-6"/>
          <w:sz w:val="32"/>
          <w:szCs w:val="32"/>
          <w:lang w:eastAsia="zh-CN"/>
        </w:rPr>
      </w:pPr>
      <w:r>
        <w:rPr>
          <w:rFonts w:ascii="Times New Roman" w:hAnsi="仿宋_GB2312" w:eastAsia="仿宋_GB2312" w:cs="Times New Roman"/>
          <w:color w:val="000000" w:themeColor="text1"/>
          <w:spacing w:val="-6"/>
          <w:sz w:val="32"/>
          <w:szCs w:val="32"/>
          <w:lang w:eastAsia="zh-CN"/>
        </w:rPr>
        <w:t>（</w:t>
      </w:r>
      <w:r>
        <w:rPr>
          <w:rFonts w:ascii="Times New Roman" w:hAnsi="Times New Roman" w:eastAsia="仿宋_GB2312" w:cs="Times New Roman"/>
          <w:color w:val="000000" w:themeColor="text1"/>
          <w:spacing w:val="-6"/>
          <w:sz w:val="32"/>
          <w:szCs w:val="32"/>
          <w:lang w:eastAsia="zh-CN"/>
        </w:rPr>
        <w:t>1</w:t>
      </w:r>
      <w:r>
        <w:rPr>
          <w:rFonts w:ascii="Times New Roman" w:hAnsi="仿宋_GB2312" w:eastAsia="仿宋_GB2312" w:cs="Times New Roman"/>
          <w:color w:val="000000" w:themeColor="text1"/>
          <w:spacing w:val="-6"/>
          <w:sz w:val="32"/>
          <w:szCs w:val="32"/>
          <w:lang w:eastAsia="zh-CN"/>
        </w:rPr>
        <w:t>）</w:t>
      </w:r>
      <w:r>
        <w:rPr>
          <w:rFonts w:ascii="Times New Roman" w:hAnsi="Times New Roman" w:eastAsia="仿宋_GB2312" w:cs="Times New Roman"/>
          <w:color w:val="000000" w:themeColor="text1"/>
          <w:spacing w:val="-6"/>
          <w:sz w:val="32"/>
          <w:szCs w:val="32"/>
          <w:lang w:eastAsia="zh-CN"/>
        </w:rPr>
        <w:t>大力发展新能源和清洁低碳能源。（区发改委牵头，供电分公司，区级相关部门、各街道办事处、各园区管委会落实）</w:t>
      </w:r>
    </w:p>
    <w:p w14:paraId="50D4C1D7">
      <w:pPr>
        <w:widowControl w:val="0"/>
        <w:kinsoku/>
        <w:autoSpaceDE/>
        <w:autoSpaceDN/>
        <w:spacing w:line="600" w:lineRule="exact"/>
        <w:ind w:firstLine="616" w:firstLineChars="200"/>
        <w:jc w:val="both"/>
        <w:outlineLvl w:val="0"/>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（2）持续加强煤炭消费总量控制。严禁新增煤电装机规模。（区发改委牵头，区级相关部门、各街道办事处、各园区管委会落实）</w:t>
      </w:r>
    </w:p>
    <w:p w14:paraId="76B0730A">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2.城市供热结构调整</w:t>
      </w:r>
    </w:p>
    <w:p w14:paraId="01857E8F">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持续优化供热运营模式。整合现有供热模式，实现供热管网互联互通、热源多能互补，合理调配使用全区供热资源。有计划实施地热能、空气源热泵、污水源热泵等多种新能源供热模式。（区住建局牵头，区发改委、区财政局、资源规划分局、区水务局、区城投集团、区城建集团配合，区级相关部门、各街道办事处、各园区管委会落实）</w:t>
      </w:r>
    </w:p>
    <w:p w14:paraId="63816572">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（2）加强清洁能源供应保障。积极协调上游气源企业，全力保障我区民生用气需求。（区发改委牵头，区级相关部门、各街道办事处、各园区管委会落实）</w:t>
      </w:r>
    </w:p>
    <w:p w14:paraId="2CC68405">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（3）大力发展清洁取暖方式。新建居民住宅、商业综合体等必须使用清洁能源取暖。（区住建局牵头，区发改委、资源规划分局、区水务局配合，区级相关部门、各街道办事处、各园区管委会落实）</w:t>
      </w:r>
    </w:p>
    <w:p w14:paraId="2D719864">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3.产业发展结构调整</w:t>
      </w:r>
    </w:p>
    <w:p w14:paraId="3078E4D8">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强化源头管控。积极推行区域、规划环境影响评价，新改扩建化工、石化、建材、有色等项目的环境影响评价应满足区域和规划环评要求。（生态环境分局牵头，区级相关部门、各街道办事处、各园区管委会落实）</w:t>
      </w:r>
    </w:p>
    <w:p w14:paraId="79CD24B8">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新建、改建、扩建项目严格落实各项准入要求，原则上采用清洁运输方式，对属于节能降碳工业重点领域的新建项目必须按照能效标杆水平建设。（区发改委、区数据和行政审批局配合，区级相关部门、各街道办事处、各园区管委会落实）</w:t>
      </w:r>
    </w:p>
    <w:p w14:paraId="7C8A7A08">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（2）严格新、改、扩建涉气重点行业绩效评级限制条件。（生态环境分局牵头，区发改委、区工信商务局配合，区级相关部门、各街道办事处、各园区管委会落实）</w:t>
      </w:r>
    </w:p>
    <w:p w14:paraId="785ADCFF">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3）依法依规淘汰落后产能。按照产业结构调整指导目录要求，制定计划，淘汰落后工艺技术、装备。（区工信商务局牵头，区发改委、区应急管理局、区市场监管局、生态环境分局、区城投集团、区城建集团配合，区级相关部门、各街道办事处、各园区管委会落实）</w:t>
      </w:r>
    </w:p>
    <w:p w14:paraId="6469BEEF">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4）加快推动产业结构升级。用好“两重”“两新”相关政策，支持限制类项目升级改造，逐步退出未完全升级改造限制类涉气行业工艺和装备，启动实施一批节能降碳改造升级项目。（区发改委、区工信商务局牵头，生态环境分局、资源规划分局、区城投集团、区城建集团配合，区级相关部门、各街道办事处、各园区管委会落实）</w:t>
      </w:r>
    </w:p>
    <w:p w14:paraId="544EA2CD">
      <w:pPr>
        <w:pStyle w:val="2"/>
        <w:widowControl w:val="0"/>
        <w:kinsoku/>
        <w:autoSpaceDE/>
        <w:autoSpaceDN/>
        <w:spacing w:line="600" w:lineRule="exact"/>
        <w:ind w:firstLine="640"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sz w:val="32"/>
          <w:szCs w:val="32"/>
          <w:lang w:eastAsia="zh-CN"/>
        </w:rPr>
        <w:t>（5）2025年底前，完成全区工业涂装企业清洁生产审核及独立粉磨站超低排放改造。（生态环境分局牵头，区工信商务局配合，区级相关部门、各街道</w:t>
      </w:r>
      <w:r>
        <w:rPr>
          <w:rFonts w:ascii="Times New Roman" w:hAnsi="Times New Roman" w:eastAsia="仿宋_GB2312" w:cs="Times New Roman"/>
          <w:color w:val="000000" w:themeColor="text1"/>
          <w:spacing w:val="-6"/>
          <w:sz w:val="32"/>
          <w:szCs w:val="32"/>
          <w:lang w:eastAsia="zh-CN"/>
        </w:rPr>
        <w:t>办事处、各园区管委会落实</w:t>
      </w:r>
      <w:r>
        <w:rPr>
          <w:rFonts w:ascii="Times New Roman" w:hAnsi="Times New Roman" w:eastAsia="仿宋_GB2312" w:cs="Times New Roman"/>
          <w:sz w:val="32"/>
          <w:szCs w:val="32"/>
          <w:lang w:eastAsia="zh-CN"/>
        </w:rPr>
        <w:t>）</w:t>
      </w:r>
    </w:p>
    <w:p w14:paraId="43E0EEAB">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4.交通运输结构调整</w:t>
      </w:r>
    </w:p>
    <w:p w14:paraId="3D91249D">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优化调整货运结构。推动打造清洁运输先行引领区，在水泥、物流园区推广新能源中重型货车，发展零排放货运车队。（区交通局牵头，区发改委、区工信商务局、公安分局、生态环境分局、区城投集团、区城建集团、现代物流园管委会配合，区级相关部门、各街道办事处、各园区管委会落实）</w:t>
      </w:r>
    </w:p>
    <w:p w14:paraId="2A63579A">
      <w:pPr>
        <w:widowControl w:val="0"/>
        <w:kinsoku/>
        <w:autoSpaceDE/>
        <w:autoSpaceDN/>
        <w:spacing w:line="600" w:lineRule="exact"/>
        <w:ind w:firstLine="616" w:firstLineChars="200"/>
        <w:jc w:val="both"/>
        <w:outlineLvl w:val="0"/>
        <w:rPr>
          <w:rFonts w:ascii="Times New Roman" w:hAnsi="Times New Roman" w:eastAsia="楷体_GB2312" w:cs="Times New Roman"/>
          <w:color w:val="000000" w:themeColor="text1"/>
          <w:spacing w:val="-6"/>
          <w:sz w:val="32"/>
          <w:szCs w:val="32"/>
          <w:lang w:eastAsia="zh-CN"/>
        </w:rPr>
      </w:pPr>
      <w:r>
        <w:rPr>
          <w:rFonts w:ascii="Times New Roman" w:hAnsi="楷体_GB2312" w:eastAsia="楷体_GB2312" w:cs="Times New Roman"/>
          <w:color w:val="000000" w:themeColor="text1"/>
          <w:spacing w:val="-6"/>
          <w:sz w:val="32"/>
          <w:szCs w:val="32"/>
          <w:lang w:eastAsia="zh-CN"/>
        </w:rPr>
        <w:t>（二）实施治理工程</w:t>
      </w:r>
    </w:p>
    <w:p w14:paraId="17C20F34">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5.散煤治理工程</w:t>
      </w:r>
    </w:p>
    <w:p w14:paraId="2936B486">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巩固清洁取暖成果。以协同治理区为重点，因地制宜、科学有序推广光伏+热泵取暖、太阳能等多能互补为支撑的清洁用能保障体系。（区发改委牵头，区财政局、区工信商务局、生态环境分局、区农业农村局、区市场监管局配合，区级相关部门、各街道办事处、各园区管委会落实）</w:t>
      </w:r>
    </w:p>
    <w:p w14:paraId="65431BC0">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全面提升建筑能效水平，加快既有农房节能改造。（区住建局牵头，区发改委配合，区级相关部门、各街道办事处、各园区管委会落实）</w:t>
      </w:r>
    </w:p>
    <w:p w14:paraId="3D15B0C4">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2）持续加强煤质监管。严格散煤加工、储运、销售、使用环节监管，采暖季期间开展煤质专项抽检。（区市场监管局牵头，区发改委、公安分局、区交通局、区工信商务局、区城管执法局、区民政局、生态环境分局、区农业农村局配合，区级相关部门、各街道办事处、各园区管委会落实）</w:t>
      </w:r>
    </w:p>
    <w:p w14:paraId="28243261">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3）全面推动秸秆综合利用。主要粮食作物实施机械化耕种收覆盖率稳定在89%以上，小麦秸秆留茬高度≤18cm，玉米秸秆留茬高度≤10cm，支持协同治理区实施秸秆综合利用项目。（区农业农村局牵头，区城管执法局配合，区级相关部门、各街道办事处、各园区管委会落实）</w:t>
      </w:r>
    </w:p>
    <w:p w14:paraId="6D814C8E">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6.集聚提升工程</w:t>
      </w:r>
    </w:p>
    <w:p w14:paraId="7140255B">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推进一批中小型传统制造企业转型升级、技改提升、入园进区，打造创新型中小企业、“专精特新”中小企业梯度培育体系，推动中小企业集聚化集群化发展。（区工信商务局牵头，区发改委、区科技局、资源规划分局、生态环境分局配合，区级相关部门、各街道办事处、各园区管委会落实）</w:t>
      </w:r>
    </w:p>
    <w:p w14:paraId="45835958">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7.车辆优化工程</w:t>
      </w:r>
    </w:p>
    <w:p w14:paraId="2C5C8277">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（1）持续优化和发挥城市建成区“绿波带”作用。（公安分局牵头，区交通局配合，区级相关部门、各街道办事处、各园区管委会落实）</w:t>
      </w:r>
    </w:p>
    <w:p w14:paraId="1C86EAED">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2）建设新能源汽车应用示范标杆城市。大力建设充换电基础设施，以公共领域用车为重点推进新能源化。（区交通局、区发改委牵头，区工信商务局、区财政局、公安分局、生态环境分局、区城管执法局、邮政分公司、区城投集团、铁路分公司配合，区级相关部门、各街道办事处、各园区管委会落实）</w:t>
      </w:r>
    </w:p>
    <w:p w14:paraId="7350AEC6">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3）持续深化绿色货运配送示范城市建设，持续提升绿色货运配送示范城市水平。（区交通局牵头，区发改委、区工信商务局、公安分局、生态环境分局、区城管执法局、邮政分公司配合，区级相关部门、各街道办事处、各园区管委会落实）</w:t>
      </w:r>
    </w:p>
    <w:p w14:paraId="79659CBE">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4）持续推进老旧车辆及非道路移动机械淘汰。完成市上下达我区国三及以下排放标准柴油货车和国一及以下排放标准非道路移动机械淘汰任务。（区交通局、公安分局牵头，区发改委、区工信商务局、生态环境分局、区住建局、区城管执法局配合，区级相关部门、各街道办事处、各园区管委会落实）</w:t>
      </w:r>
    </w:p>
    <w:p w14:paraId="341F69F7">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（5）所有在用渣土车完成新能源或国六排放标准替代。（区城管执法局牵头，公安分局、区交通局配合，区级相关部门、各街道办事处、各园区管委会落实）</w:t>
      </w:r>
    </w:p>
    <w:p w14:paraId="252CB739">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（6）所有在用商砼车完成新能源或国六排放标准替代。（区住建局牵头，公安分局、区交通局配合，区级相关部门、各街道办事处、各园区管委会落实）</w:t>
      </w:r>
    </w:p>
    <w:p w14:paraId="7D907707">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（7）全面推进公务用车新能源化替代，新能源或清洁能源车辆比例不低于80%。（区机关事务中心牵头，区财政局、公安分局配合，区级相关部门、各街道办事处、各园区管委会落实）</w:t>
      </w:r>
    </w:p>
    <w:p w14:paraId="42D46454">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（8）强化非道路移动机械排放控制区管控。（生态环境分局牵头，区级相关部门、各街道办事处、各园区管委会落实）</w:t>
      </w:r>
    </w:p>
    <w:p w14:paraId="4A797145">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9）持续推进重点企业门禁系统建设。（生态环境分局〈指导工业企业安装门禁系统〉、区交通局〈指导物流类企业安装〉、区住建局〈指导两类企业安装〉、区城管执法局〈指导建筑垃圾运输消纳企业安装〉牵头，区级相关部门、各街道办事处、各园区管委会落实）</w:t>
      </w:r>
    </w:p>
    <w:p w14:paraId="202FD99C">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（10）持续实施过境货车分流综合管控。（公安分局牵头，区交通局、生态环境分局配合，区级相关部门、各街道办事处、各园区管委会落实）</w:t>
      </w:r>
    </w:p>
    <w:p w14:paraId="086A8532">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（11）加强在用机动车管理。</w:t>
      </w:r>
    </w:p>
    <w:p w14:paraId="67720A57">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加大货运、物流车辆污染治理力度，在集中停放地开展监督抽测。强化综合执法监管，实施多部门联合惩戒。全面落实机动车排放检测/维护（I/M）制度。（生态环境分局牵头，公安分局、区城管执法局、区交通局配合，区级相关部门、各街道办事处、各园区管委会落实）</w:t>
      </w:r>
    </w:p>
    <w:p w14:paraId="7655D6B0">
      <w:pPr>
        <w:pStyle w:val="2"/>
        <w:widowControl w:val="0"/>
        <w:tabs>
          <w:tab w:val="left" w:pos="108"/>
        </w:tabs>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持续推进政府投资类项目、民生保障类项目、重点区域土石方作业项目使用新能源、清洁能源车辆以及符合“双三标准”的非道路移动机械。（区住建局牵头，区交通局、区城管执法局、生态环境分局、区水务局、公安分局配合，区级相关部门、各街道办事处、各园区管委会落实）</w:t>
      </w:r>
    </w:p>
    <w:p w14:paraId="62EBBE4B">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大力推进渣土车“阳光运输”。夏防期加严管控期间，夜间渣土车清运仅允许使用纯电动及国六排放标准车辆，重点区域1公里范围内，暂停渣土车夜间审批（纯电动渣土车除外）；应急管控期间，暂停渣土车夜间审批（纯电动渣土车除外）。（区城管执法局牵头，生态环境分局、公安分局配合，区级相关部门、各街道办事处、各园区管委会落实）</w:t>
      </w:r>
    </w:p>
    <w:p w14:paraId="28451A33">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8.扬尘治理工程</w:t>
      </w:r>
    </w:p>
    <w:p w14:paraId="55B3CED8">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强化降尘量控制。持续加强扬尘污染管控考核，月度平均降尘量不高于5吨/月·平方公里。（生态环境分局牵头，区级相关部门、各街道办事处、各园区管委会落实，区级相关部门、各街道办事处、各园区管委会落实）</w:t>
      </w:r>
    </w:p>
    <w:p w14:paraId="10443FAA">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（2）加强道路扬尘管理。</w:t>
      </w:r>
    </w:p>
    <w:p w14:paraId="19FAF9AA">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严格城市道路保洁作业标准，主城区主次干道及主要入城道路积尘负荷监测稳定达到优级别。</w:t>
      </w:r>
      <w:r>
        <w:rPr>
          <w:rFonts w:ascii="Times New Roman" w:hAnsi="仿宋_GB2312" w:eastAsia="仿宋_GB2312" w:cs="Times New Roman"/>
          <w:sz w:val="32"/>
          <w:szCs w:val="32"/>
          <w:lang w:eastAsia="zh-CN"/>
        </w:rPr>
        <w:t>加大与国、省干线养管单位的对接协调力度，要求其加强干线道路保洁力度，推进辖区干线道路两侧裸露土地的绿化、硬化工作</w:t>
      </w:r>
      <w:r>
        <w:rPr>
          <w:rFonts w:ascii="Times New Roman" w:hAnsi="Times New Roman" w:eastAsia="仿宋_GB2312" w:cs="Times New Roman"/>
          <w:color w:val="000000" w:themeColor="text1"/>
          <w:spacing w:val="-6"/>
          <w:sz w:val="32"/>
          <w:szCs w:val="32"/>
          <w:lang w:eastAsia="zh-CN"/>
        </w:rPr>
        <w:t>。严格易产生扬尘运输车辆监管。加强道路扬尘污染问题集中整治，按照市生态环境局每月对公共交通车辆走航排名后40名的路段通报，区城管执法局和区交通局同步开展集中整治。（区城管执法局、区交通局、生态环境分局按职责分工负责，区级相关部门、各街道办事处、各园区管委会落实）</w:t>
      </w:r>
    </w:p>
    <w:p w14:paraId="117ED197">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加强对城市公共区域、临时闲置建设用地、城区道路两侧和城区河道两侧裸露土地的硬化和绿化，对未及时清运的渣土实行高标准覆盖。（资源规划分局牵头，区住建局、区城管执法局、区水务局配合，区级相关部门、各街道办事处、各园区管委会落实）</w:t>
      </w:r>
    </w:p>
    <w:p w14:paraId="5AC018A6">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3）强化工地扬尘管控。加强施工项目扬尘精细化管控，实施A、B、C级差异化管理。持续强化施工工地扬尘监测信息化管控，加大惩处力度。每年组织对行业内存在严重扬尘污染违法行为的单位开展扬尘污染防治专题培训。（区住建局〈负责建筑工地〉、区城管执法局〈负责建筑垃圾清运项目〉、区交通局〈负责公路建设工地〉、区水务局〈负责水利工地〉、生态环境分局〈负责扬尘监测〉牵头，区级相关部门、各街道办事处、各园区管委会落实）</w:t>
      </w:r>
    </w:p>
    <w:p w14:paraId="3334B2B6">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4）加强物料堆场扬尘管控。（生态环境分局〈检查工业企业堆场〉、区住建局〈检查两类企业〉、资源规划分局〈检查三厂〉、区城管执法局〈检查建筑垃圾消纳企业〉牵头，区级相关部门、各街道办事处、各园区管委会落实）</w:t>
      </w:r>
    </w:p>
    <w:p w14:paraId="52942074">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（5）加强对“两类企业”日常生产管理。（区住建局牵头，区级相关部门、各街道办事处、各园区管委会落实）</w:t>
      </w:r>
    </w:p>
    <w:p w14:paraId="1A6A1425">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9.推动环保产业发展</w:t>
      </w:r>
    </w:p>
    <w:p w14:paraId="4B253A66">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加大政策支持力度，在环境监测、环保装备、环境咨询、深度治理等领域培育若干龙头企业。（生态环境分局牵头，区发改委、区科技局、区工信商务局配合，区级相关部门、各街道办事处、各园区管委会落实，区级相关部门、各街道办事处、各园区管委会落实）</w:t>
      </w:r>
    </w:p>
    <w:p w14:paraId="3126894B">
      <w:pPr>
        <w:widowControl w:val="0"/>
        <w:kinsoku/>
        <w:autoSpaceDE/>
        <w:autoSpaceDN/>
        <w:spacing w:line="600" w:lineRule="exact"/>
        <w:ind w:firstLine="616" w:firstLineChars="200"/>
        <w:jc w:val="both"/>
        <w:outlineLvl w:val="2"/>
        <w:rPr>
          <w:rFonts w:ascii="Times New Roman" w:hAnsi="Times New Roman" w:eastAsia="楷体_GB2312" w:cs="Times New Roman"/>
          <w:color w:val="000000" w:themeColor="text1"/>
          <w:spacing w:val="-6"/>
          <w:sz w:val="32"/>
          <w:szCs w:val="32"/>
          <w:lang w:eastAsia="zh-CN"/>
        </w:rPr>
      </w:pPr>
      <w:r>
        <w:rPr>
          <w:rFonts w:ascii="Times New Roman" w:hAnsi="楷体_GB2312" w:eastAsia="楷体_GB2312" w:cs="Times New Roman"/>
          <w:color w:val="000000" w:themeColor="text1"/>
          <w:spacing w:val="-6"/>
          <w:sz w:val="32"/>
          <w:szCs w:val="32"/>
          <w:lang w:eastAsia="zh-CN"/>
        </w:rPr>
        <w:t>（三）开展专项行动</w:t>
      </w:r>
    </w:p>
    <w:p w14:paraId="6FCFA271">
      <w:pPr>
        <w:pStyle w:val="2"/>
        <w:widowControl w:val="0"/>
        <w:kinsoku/>
        <w:autoSpaceDE/>
        <w:autoSpaceDN/>
        <w:spacing w:line="600" w:lineRule="exact"/>
        <w:ind w:firstLine="616" w:firstLineChars="200"/>
        <w:jc w:val="both"/>
        <w:outlineLvl w:val="2"/>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10.开展深度治理行动</w:t>
      </w:r>
    </w:p>
    <w:p w14:paraId="4CCBB228">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推动燃气锅炉实施低氮燃烧深度改造，持续推动燃煤锅炉淘汰，加强生物质锅炉监管，推进产业园区集中喷涂（钣喷）中心建设。（生态环境分局牵头，区发改委、区工信商务局、区交通局配合，区级相关部门、各街道办事处、各园区管委会落实）</w:t>
      </w:r>
    </w:p>
    <w:p w14:paraId="5FE20CA6">
      <w:pPr>
        <w:widowControl w:val="0"/>
        <w:kinsoku/>
        <w:autoSpaceDE/>
        <w:autoSpaceDN/>
        <w:adjustRightInd/>
        <w:snapToGrid/>
        <w:spacing w:line="600" w:lineRule="exact"/>
        <w:ind w:firstLine="640"/>
        <w:textAlignment w:val="auto"/>
        <w:rPr>
          <w:rFonts w:ascii="Times New Roman" w:hAnsi="Times New Roman" w:eastAsia="仿宋_GB2312" w:cs="Times New Roman"/>
          <w:lang w:eastAsia="zh-CN"/>
        </w:rPr>
      </w:pPr>
      <w:r>
        <w:rPr>
          <w:rFonts w:ascii="Times New Roman" w:hAnsi="Times New Roman" w:eastAsia="仿宋_GB2312" w:cs="Times New Roman"/>
          <w:color w:val="000000" w:themeColor="text1"/>
          <w:spacing w:val="-6"/>
          <w:sz w:val="32"/>
          <w:szCs w:val="32"/>
          <w:lang w:eastAsia="zh-CN"/>
        </w:rPr>
        <w:t>（2）推动声环境质量改善。</w:t>
      </w:r>
      <w:r>
        <w:rPr>
          <w:rFonts w:ascii="Times New Roman" w:hAnsi="Times New Roman" w:eastAsia="仿宋_GB2312" w:cs="Times New Roman"/>
          <w:sz w:val="32"/>
          <w:szCs w:val="32"/>
          <w:lang w:eastAsia="zh-CN"/>
        </w:rPr>
        <w:t>全面实现功能区声环境质量自动监测，合理划定噪声敏感建筑物集中区域，推动宁静小区建设。加大降噪先进技术、设备推广和噪声污染严重的落后工艺、设备淘汰力度。加强对建筑施工、工业生产、交通运输、社会生活等噪声污染的监督检查，加大噪声违法行为处罚力度，构建多部门齐抓共管、各层级上下协同的治理格局，推动解决噪声投诉重点问题</w:t>
      </w:r>
      <w:r>
        <w:rPr>
          <w:rFonts w:ascii="Times New Roman" w:hAnsi="Times New Roman" w:eastAsia="仿宋_GB2312" w:cs="Times New Roman"/>
          <w:kern w:val="2"/>
          <w:sz w:val="32"/>
          <w:szCs w:val="32"/>
          <w:lang w:eastAsia="zh-CN"/>
        </w:rPr>
        <w:t>。</w:t>
      </w:r>
      <w:r>
        <w:rPr>
          <w:rFonts w:ascii="Times New Roman" w:hAnsi="仿宋_GB2312" w:eastAsia="仿宋_GB2312" w:cs="Times New Roman"/>
          <w:kern w:val="2"/>
          <w:sz w:val="32"/>
          <w:szCs w:val="32"/>
          <w:lang w:eastAsia="zh-CN"/>
        </w:rPr>
        <w:t>（生态环境分局牵头</w:t>
      </w:r>
      <w:r>
        <w:rPr>
          <w:rFonts w:ascii="Times New Roman" w:hAnsi="仿宋_GB2312" w:eastAsia="仿宋_GB2312" w:cs="Times New Roman"/>
          <w:color w:val="auto"/>
          <w:sz w:val="32"/>
          <w:szCs w:val="32"/>
          <w:lang w:eastAsia="zh-CN"/>
        </w:rPr>
        <w:t>，区工信商务局、公安分局、区住建局、区城管执法局、区交通局配合</w:t>
      </w:r>
      <w:r>
        <w:rPr>
          <w:rFonts w:ascii="Times New Roman" w:hAnsi="Times New Roman" w:eastAsia="仿宋_GB2312" w:cs="Times New Roman"/>
          <w:color w:val="000000" w:themeColor="text1"/>
          <w:spacing w:val="-6"/>
          <w:sz w:val="32"/>
          <w:szCs w:val="32"/>
          <w:lang w:eastAsia="zh-CN"/>
        </w:rPr>
        <w:t>，区级相关部门、各街道办事处、各园区管委会落实</w:t>
      </w:r>
      <w:r>
        <w:rPr>
          <w:rFonts w:ascii="Times New Roman" w:hAnsi="仿宋_GB2312" w:eastAsia="仿宋_GB2312" w:cs="Times New Roman"/>
          <w:kern w:val="2"/>
          <w:sz w:val="32"/>
          <w:szCs w:val="32"/>
          <w:lang w:eastAsia="zh-CN"/>
        </w:rPr>
        <w:t>）</w:t>
      </w:r>
    </w:p>
    <w:p w14:paraId="25050415">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11.重污染天气应对行动</w:t>
      </w:r>
    </w:p>
    <w:p w14:paraId="7CE54175">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依法依规开展重污染天气应对。进一步完善应急减排清单，明确应急减排措施，确保可操作、可监测、可核查。（生态环境分局牵头，区发改委、区工信商务局、区交通局、区住建局、区城管执法局、区水务局配合，区级相关部门、各街道办事处、各园区管委会落实）</w:t>
      </w:r>
    </w:p>
    <w:p w14:paraId="7D7C14B0">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（2）强化区域联防联控。符合重污染天气应急响应启动条件时，及时协调周边地区开展区域联防联控。（生态环境分局牵头，区级相关部门、各街道办事处、各园区管委会落实）</w:t>
      </w:r>
    </w:p>
    <w:p w14:paraId="29E521AB">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3）实施涉气重点行业企业绩效分级差异化管控。提升重点行业绩效分级B级及以上和引领性企业占比，完成市上下达我市绩效评级工作任务。（生态环境分局牵头，区发改委、区财政局、区工信商务局、区住建局、区交通局、区城投集团、区城建集团配合，区级相关部门、各街道办事处、各园区管委会落实）</w:t>
      </w:r>
    </w:p>
    <w:p w14:paraId="0322DFF2">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（4）推进未完成改造的涉气高耗能行业企业淘汰退出。（</w:t>
      </w:r>
      <w:r>
        <w:rPr>
          <w:rFonts w:ascii="Times New Roman" w:hAnsi="Times New Roman" w:eastAsia="仿宋_GB2312" w:cs="Times New Roman"/>
          <w:color w:val="000000" w:themeColor="text1"/>
          <w:sz w:val="32"/>
          <w:szCs w:val="32"/>
          <w:lang w:eastAsia="zh-CN"/>
        </w:rPr>
        <w:t>区发改委、生态环境分局、区工信商务局</w:t>
      </w:r>
      <w:r>
        <w:rPr>
          <w:rFonts w:ascii="Times New Roman" w:hAnsi="Times New Roman" w:eastAsia="仿宋_GB2312" w:cs="Times New Roman"/>
          <w:color w:val="000000" w:themeColor="text1"/>
          <w:spacing w:val="-6"/>
          <w:sz w:val="32"/>
          <w:szCs w:val="32"/>
          <w:lang w:eastAsia="zh-CN"/>
        </w:rPr>
        <w:t>牵头，区数据和行政审批局、区城投集团、区城建集团配合，区级相关部门、各街道办事处、各园区管委会落实）</w:t>
      </w:r>
    </w:p>
    <w:p w14:paraId="76C40BC8">
      <w:pPr>
        <w:pStyle w:val="2"/>
        <w:widowControl w:val="0"/>
        <w:kinsoku/>
        <w:autoSpaceDE/>
        <w:autoSpaceDN/>
        <w:spacing w:line="600" w:lineRule="exact"/>
        <w:ind w:firstLine="616" w:firstLineChars="200"/>
        <w:jc w:val="both"/>
        <w:rPr>
          <w:rFonts w:ascii="Times New Roman" w:hAnsi="Times New Roman" w:eastAsia="仿宋_GB2312" w:cs="Times New Roman"/>
          <w:sz w:val="32"/>
          <w:szCs w:val="32"/>
          <w:lang w:eastAsia="zh-CN"/>
        </w:rPr>
      </w:pPr>
      <w:r>
        <w:rPr>
          <w:rFonts w:ascii="Times New Roman" w:hAnsi="Times New Roman" w:eastAsia="仿宋_GB2312" w:cs="Times New Roman"/>
          <w:color w:val="000000" w:themeColor="text1"/>
          <w:spacing w:val="-6"/>
          <w:sz w:val="32"/>
          <w:szCs w:val="32"/>
          <w:lang w:eastAsia="zh-CN"/>
        </w:rPr>
        <w:t>（5）开展企业环保绩效升级创A升B减C清D。</w:t>
      </w:r>
      <w:r>
        <w:rPr>
          <w:rFonts w:ascii="Times New Roman" w:hAnsi="Times New Roman" w:eastAsia="仿宋_GB2312" w:cs="Times New Roman"/>
          <w:sz w:val="32"/>
          <w:szCs w:val="32"/>
          <w:lang w:eastAsia="zh-CN"/>
        </w:rPr>
        <w:t>2025年底前，辖区内的涉气重点企业环保绩效达到B级及以上水平。辖区评定为环保绩效最低等级水平的企业，由行业主管部门依法依规处置。（生态环境分局牵头，区发改委、区工信商务局、区住建局配合，区级相关部门、各街道办事处、各园区管委会落实）</w:t>
      </w:r>
    </w:p>
    <w:p w14:paraId="2BB04C0F">
      <w:pPr>
        <w:pStyle w:val="2"/>
        <w:widowControl w:val="0"/>
        <w:kinsoku/>
        <w:autoSpaceDE/>
        <w:autoSpaceDN/>
        <w:spacing w:line="600" w:lineRule="exact"/>
        <w:ind w:firstLine="640" w:firstLineChars="200"/>
        <w:jc w:val="both"/>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t>（6）提升移动源监管能力水平。加强移动源环境监管能力建设，建设重型柴油车和非道路移动机械远程在线监控平台。（生态环境分局牵头</w:t>
      </w:r>
      <w:r>
        <w:rPr>
          <w:rFonts w:ascii="Times New Roman" w:hAnsi="Times New Roman" w:eastAsia="仿宋_GB2312" w:cs="Times New Roman"/>
          <w:color w:val="000000" w:themeColor="text1"/>
          <w:spacing w:val="-6"/>
          <w:sz w:val="32"/>
          <w:szCs w:val="32"/>
          <w:lang w:eastAsia="zh-CN"/>
        </w:rPr>
        <w:t>，区级相关部门、各街道办事处、各园区管委会落实</w:t>
      </w:r>
      <w:r>
        <w:rPr>
          <w:rFonts w:ascii="Times New Roman" w:hAnsi="Times New Roman" w:eastAsia="仿宋_GB2312" w:cs="Times New Roman"/>
          <w:sz w:val="32"/>
          <w:szCs w:val="32"/>
          <w:lang w:eastAsia="zh-CN"/>
        </w:rPr>
        <w:t>）</w:t>
      </w:r>
    </w:p>
    <w:p w14:paraId="37CE7071">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12.夏季臭氧应对行动</w:t>
      </w:r>
    </w:p>
    <w:p w14:paraId="2078FD5B">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（1）持续推进达不到新排放标准的印刷、玻璃行业企业实施提标改造。（生态环境分局牵头，区发改委、区工信商务局、区城投集团、区城建集团配合，区级相关部门、各街道办事处、各园区管委会落实）</w:t>
      </w:r>
    </w:p>
    <w:p w14:paraId="2087483B">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（2）夏防期抽查涉及喷涂汽修企业比例不低于60%。（区交通局牵头，生态环境分局配合，区级相关部门、各街道办事处、各园区管委会落实）</w:t>
      </w:r>
    </w:p>
    <w:p w14:paraId="067BF4BC">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（3）污水处理场所排放的高浓度有机废气应单独收集处理；含VOCs有机废水储罐、装置区集水井（池）排放的有机废气应密闭收集处理。（生态环境分局牵头，区级相关部门、各街道办事处、各园区管委会落实）</w:t>
      </w:r>
    </w:p>
    <w:p w14:paraId="542B4C15">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4）在工业企业、汽修、市政工程等方面集中开展低挥发性原辅材料源头替代工作。（生态环境分局牵头，区发改委、区交通局、区住建局、区水务局、区工信商务局、区城管执法局、区市场监管局配合，区级相关部门、各街道办事处、各园区管委会落实）</w:t>
      </w:r>
    </w:p>
    <w:p w14:paraId="67C5CF91">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5）夏防期重点时段协商重点涉气企业开展减排工作。（生态环境分局牵头，公安分局、区城管执法局、区工信商务局、区住建局、区交通局、区水务局配合，区级相关部门、各街道办事处、各园区管委会落实）</w:t>
      </w:r>
    </w:p>
    <w:p w14:paraId="13F9D3A2">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6）开展恶臭异味扰民问题排查整治。投诉集中的工业园区、重点企业要安装运行在线监测系统。（生态环境分局〈工业企业恶臭异味治理〉，区城管局〈餐饮企业恶臭异味治理〉，区级相关部门、各街道办事处、各园区管委会落实）</w:t>
      </w:r>
    </w:p>
    <w:p w14:paraId="0C7520AF">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（7）持续开展油气回收装置专项检查工作。（生态环境分局牵头，区工信商务局、区交通局配合，区级相关部门、各街道办事处、各园区管委会落实）</w:t>
      </w:r>
    </w:p>
    <w:p w14:paraId="61252D22">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8）持续开展打击取缔黑加油站点、流动加油车工作。（区工信商务局牵头，公安分局、区应急管理局、生态环境分局、区市场监管局、区交通局、区住建局配合，区级相关部门、各街道办事处、各园区管委会落实）</w:t>
      </w:r>
    </w:p>
    <w:p w14:paraId="31C8EA92">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9）严厉打击生产、销售不合格油品行为。对油库油品质量开展全覆盖抽检。提升货车、非道路移动机械中柴油抽测频次。（区市场监管局牵头，公安分局、生态环境分局、区交通局、区城管执法局、区住建局配合，区级相关部门、各街道办事处、各园区管委会落实）</w:t>
      </w:r>
    </w:p>
    <w:p w14:paraId="1B50F634">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（10）开展含挥发性有机物原辅材料达标情况联合检查。（区市场监管局牵头，区住建局、区城管执法局、公安分局、生态环境分局配合，区级相关部门、各街道办事处、各园区管委会落实）</w:t>
      </w:r>
    </w:p>
    <w:p w14:paraId="4EB127C1">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13.面源综合治理行动</w:t>
      </w:r>
    </w:p>
    <w:p w14:paraId="45C9E922">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（1）强力推进城乡增绿扩容。2025年全区森林覆盖率达到14.98%。（区秦岭保护局牵头，区城管执法局、区住建局配合，区级相关部门、各街道办事处、各园区管委会落实）</w:t>
      </w:r>
    </w:p>
    <w:p w14:paraId="4469E360">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（2）加强烟花爆竹禁售禁放管控。</w:t>
      </w:r>
    </w:p>
    <w:p w14:paraId="0279290A">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强化烟花爆竹禁售禁放宣传，充分利用各种媒体开展宣传引导工作。（公安分局、区应急管理局牵头，区委宣传部、区融媒体中心、区委网信办、区委社会工作部、区市场监管局、生态环境分局、区住建局、区城管执法局、区教育局、区民政局、区卫生健康委、区消防救援大队配合，区级相关部门、各街道办事处、各园区管委会落实）</w:t>
      </w:r>
    </w:p>
    <w:p w14:paraId="6272D8AF">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坚持依法禁售烟花爆竹，坚决打击非法生产、经营烟花爆竹的违法行为。（区应急管理局牵头，公安分局、区市场监管局、区城管执法局配合，区级相关部门、各街道办事处、各园区管委会落实）。</w:t>
      </w:r>
    </w:p>
    <w:p w14:paraId="79D9A61A">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加大网络销售烟花爆竹侦测，发现线索及时移交应急管理部门，依法查处网络违法销售烟花爆竹行为，有力遏制线上违法销售势头。坚持依法禁放烟花爆竹，坚决打击非法运输、储存、燃放烟花爆竹的违法行为。（公安分局牵头，区应急管理局、区交通局、区市场监管局、区城管执法局、生态环境分局、邮政分公司配合，区级相关部门、各街道办事处、各园区管委会落实）。</w:t>
      </w:r>
    </w:p>
    <w:p w14:paraId="1E29AB0B">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3）持续推动农业氨治理。主要农作物化肥、农药使用量实现负增长。推进化肥减量增效。推广低蛋白日粮技术，减少氨排放。畜禽养殖粪污资源化利用率达90%以上。（区农业农村局牵头，区科技局、生态环境分局配合，区级相关部门、各街道办事处、各园区管委会落实）</w:t>
      </w:r>
    </w:p>
    <w:p w14:paraId="040B956C">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（4）加大餐饮油烟治理。利用餐饮油烟在线监测系统，强化日常监测监管，城市建成区全面禁止露天烧烤。（区城管执法局牵头，区级相关部门、各街道办事处、各园区管委会落实）</w:t>
      </w:r>
    </w:p>
    <w:p w14:paraId="1E98663D">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5）强化露天焚烧管控。切实加强城市建成区范围内秸秆、垃圾、树叶、杂物等露天焚烧查处力度，严防因露天焚烧造成区域性重污染天气。（区城管执法局牵头，区级相关部门、各街道办事处、各园区管委会落实）</w:t>
      </w:r>
    </w:p>
    <w:p w14:paraId="6719700A">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（6）严控不文明祭扫行为。（区民政局牵头，区级相关部门、各街道办事处、各园区管委会落实）</w:t>
      </w:r>
    </w:p>
    <w:p w14:paraId="10228B7B">
      <w:pPr>
        <w:widowControl w:val="0"/>
        <w:kinsoku/>
        <w:autoSpaceDE/>
        <w:autoSpaceDN/>
        <w:spacing w:line="600" w:lineRule="exact"/>
        <w:ind w:firstLine="616" w:firstLineChars="200"/>
        <w:jc w:val="both"/>
        <w:outlineLvl w:val="0"/>
        <w:rPr>
          <w:rFonts w:ascii="Times New Roman" w:hAnsi="Times New Roman" w:eastAsia="黑体" w:cs="Times New Roman"/>
          <w:b/>
          <w:bCs/>
          <w:color w:val="000000" w:themeColor="text1"/>
          <w:spacing w:val="-6"/>
          <w:sz w:val="32"/>
          <w:szCs w:val="32"/>
          <w:lang w:eastAsia="zh-CN"/>
        </w:rPr>
      </w:pPr>
      <w:r>
        <w:rPr>
          <w:rFonts w:ascii="Times New Roman" w:hAnsi="黑体" w:eastAsia="黑体" w:cs="Times New Roman"/>
          <w:color w:val="000000" w:themeColor="text1"/>
          <w:spacing w:val="-6"/>
          <w:sz w:val="32"/>
          <w:szCs w:val="32"/>
          <w:lang w:eastAsia="zh-CN"/>
        </w:rPr>
        <w:t>三、保障措施</w:t>
      </w:r>
    </w:p>
    <w:p w14:paraId="09B56A90">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楷体_GB2312" w:eastAsia="楷体_GB2312" w:cs="Times New Roman"/>
          <w:color w:val="000000" w:themeColor="text1"/>
          <w:spacing w:val="-6"/>
          <w:sz w:val="32"/>
          <w:szCs w:val="32"/>
          <w:lang w:eastAsia="zh-CN"/>
        </w:rPr>
        <w:t>（一）加强组织领导。</w:t>
      </w:r>
      <w:r>
        <w:rPr>
          <w:rFonts w:ascii="Times New Roman" w:hAnsi="Times New Roman" w:eastAsia="仿宋_GB2312" w:cs="Times New Roman"/>
          <w:color w:val="000000" w:themeColor="text1"/>
          <w:spacing w:val="-6"/>
          <w:sz w:val="32"/>
          <w:szCs w:val="32"/>
          <w:lang w:eastAsia="zh-CN"/>
        </w:rPr>
        <w:t>持续提高政治站位，压紧压实生态环境“党政同责”主体责任，构建环境治理联动协作机制。立足大气污染防治实际，科学制定配套保障措施，切实巩固蓝天保卫战成果。（生态环境分局牵头，区级相关部门配合，区级相关部门、各街道办事处、各园区管委会落实）</w:t>
      </w:r>
    </w:p>
    <w:p w14:paraId="10A3D5D0">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楷体_GB2312" w:eastAsia="楷体_GB2312" w:cs="Times New Roman"/>
          <w:color w:val="000000" w:themeColor="text1"/>
          <w:spacing w:val="-6"/>
          <w:sz w:val="32"/>
          <w:szCs w:val="32"/>
          <w:lang w:eastAsia="zh-CN"/>
        </w:rPr>
        <w:t>（二）强化达标管理。</w:t>
      </w:r>
      <w:r>
        <w:rPr>
          <w:rFonts w:ascii="Times New Roman" w:hAnsi="Times New Roman" w:eastAsia="仿宋_GB2312" w:cs="Times New Roman"/>
          <w:color w:val="000000" w:themeColor="text1"/>
          <w:spacing w:val="-6"/>
          <w:sz w:val="32"/>
          <w:szCs w:val="32"/>
          <w:lang w:eastAsia="zh-CN"/>
        </w:rPr>
        <w:t>制定全区年度空气质量改善进位计划，明确我区年度考核指标，建立我区日控月考体系，细化达标措施，实施动态管理。（生态环境分局牵头，区级相关部门配合，区级相关部门、各街道办事处、各园区管委会落实）</w:t>
      </w:r>
    </w:p>
    <w:p w14:paraId="02285660">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楷体_GB2312" w:eastAsia="楷体_GB2312" w:cs="Times New Roman"/>
          <w:color w:val="000000" w:themeColor="text1"/>
          <w:spacing w:val="-6"/>
          <w:sz w:val="32"/>
          <w:szCs w:val="32"/>
          <w:lang w:eastAsia="zh-CN"/>
        </w:rPr>
        <w:t>（三）强化执法监管。</w:t>
      </w:r>
      <w:r>
        <w:rPr>
          <w:rFonts w:ascii="Times New Roman" w:hAnsi="Times New Roman" w:eastAsia="仿宋_GB2312" w:cs="Times New Roman"/>
          <w:color w:val="000000" w:themeColor="text1"/>
          <w:spacing w:val="-6"/>
          <w:sz w:val="32"/>
          <w:szCs w:val="32"/>
          <w:lang w:eastAsia="zh-CN"/>
        </w:rPr>
        <w:t>狠抓督察反馈问题整改落实，突出涉气污染源排查整治，强化重点领域多部门联合执法，严厉打击监测数据造假等违法犯罪行为，对弄虚作假的排污单位、第三方机构及其责任人，分别依法追究责任。对生态环境造成损害的单位和个人依法追究生态环境损害赔偿责任。（生态环境分局牵头，区级相关部门配合，区级相关部门、各街道办事处、各园区管委会落实）</w:t>
      </w:r>
    </w:p>
    <w:p w14:paraId="223BDD1E">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楷体_GB2312" w:eastAsia="楷体_GB2312" w:cs="Times New Roman"/>
          <w:color w:val="000000" w:themeColor="text1"/>
          <w:spacing w:val="-6"/>
          <w:sz w:val="32"/>
          <w:szCs w:val="32"/>
          <w:lang w:eastAsia="zh-CN"/>
        </w:rPr>
        <w:t>（四）强化宣传监督。</w:t>
      </w:r>
      <w:r>
        <w:rPr>
          <w:rFonts w:ascii="Times New Roman" w:hAnsi="Times New Roman" w:eastAsia="仿宋_GB2312" w:cs="Times New Roman"/>
          <w:color w:val="000000" w:themeColor="text1"/>
          <w:spacing w:val="-6"/>
          <w:sz w:val="32"/>
          <w:szCs w:val="32"/>
          <w:lang w:eastAsia="zh-CN"/>
        </w:rPr>
        <w:t>充分发挥主流媒体作用，加强对群众反映强烈问题和通报问题整改落实情况的监督抽查力度，及时发布相关信息，正确引导公众舆论。（区委宣传部牵头，区委网信办、生态环境分局配合，区级相关部门、各街道办事处、各园区管委会落实）</w:t>
      </w:r>
    </w:p>
    <w:p w14:paraId="3ACE4795">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r>
        <w:rPr>
          <w:rFonts w:ascii="Times New Roman" w:hAnsi="楷体_GB2312" w:eastAsia="楷体_GB2312" w:cs="Times New Roman"/>
          <w:color w:val="000000" w:themeColor="text1"/>
          <w:spacing w:val="-6"/>
          <w:sz w:val="32"/>
          <w:szCs w:val="32"/>
          <w:lang w:eastAsia="zh-CN"/>
        </w:rPr>
        <w:t>（五）加强组织实施。</w:t>
      </w:r>
      <w:r>
        <w:rPr>
          <w:rFonts w:ascii="Times New Roman" w:hAnsi="Times New Roman" w:eastAsia="仿宋_GB2312" w:cs="Times New Roman"/>
          <w:color w:val="000000" w:themeColor="text1"/>
          <w:spacing w:val="-6"/>
          <w:sz w:val="32"/>
          <w:szCs w:val="32"/>
          <w:lang w:eastAsia="zh-CN"/>
        </w:rPr>
        <w:t>开展全民行动，动员社会各界广泛参与大气污染治理，持续改善空气质量。方案实施过程中要坚持依法行政，防范化解风险，确保平稳有序。（生态环境分局牵头，区级相关部门配合，区级相关部门、各街道办事处、各园区管委会落实）</w:t>
      </w:r>
    </w:p>
    <w:p w14:paraId="12B94045">
      <w:pPr>
        <w:pStyle w:val="2"/>
        <w:widowControl w:val="0"/>
        <w:kinsoku/>
        <w:autoSpaceDE/>
        <w:autoSpaceDN/>
        <w:spacing w:line="600" w:lineRule="exact"/>
        <w:ind w:firstLine="616" w:firstLineChars="200"/>
        <w:jc w:val="both"/>
        <w:rPr>
          <w:rFonts w:ascii="Times New Roman" w:hAnsi="Times New Roman" w:eastAsia="仿宋_GB2312" w:cs="Times New Roman"/>
          <w:color w:val="000000" w:themeColor="text1"/>
          <w:spacing w:val="-6"/>
          <w:sz w:val="32"/>
          <w:szCs w:val="32"/>
          <w:lang w:eastAsia="zh-CN"/>
        </w:rPr>
      </w:pPr>
    </w:p>
    <w:p w14:paraId="4778097E">
      <w:pPr>
        <w:pStyle w:val="2"/>
        <w:widowControl w:val="0"/>
        <w:kinsoku/>
        <w:autoSpaceDE/>
        <w:autoSpaceDN/>
        <w:spacing w:line="600" w:lineRule="exact"/>
        <w:ind w:left="1862" w:leftChars="300" w:hanging="1232" w:hangingChars="4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附件：1.西安市临潼区大气污染治理专项行动2025年工作任务清单</w:t>
      </w:r>
    </w:p>
    <w:p w14:paraId="310F0D79">
      <w:pPr>
        <w:pStyle w:val="2"/>
        <w:widowControl w:val="0"/>
        <w:kinsoku/>
        <w:autoSpaceDE/>
        <w:autoSpaceDN/>
        <w:spacing w:line="600" w:lineRule="exact"/>
        <w:ind w:firstLine="1540" w:firstLineChars="500"/>
        <w:jc w:val="both"/>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2.2025年空气质量考核指标</w:t>
      </w:r>
    </w:p>
    <w:p w14:paraId="5BA92268">
      <w:pPr>
        <w:widowControl w:val="0"/>
        <w:kinsoku/>
        <w:autoSpaceDE/>
        <w:autoSpaceDN/>
        <w:spacing w:line="576" w:lineRule="exact"/>
        <w:jc w:val="both"/>
        <w:rPr>
          <w:rFonts w:ascii="Times New Roman" w:hAnsi="Times New Roman" w:eastAsia="仿宋_GB2312" w:cs="Times New Roman"/>
          <w:color w:val="000000" w:themeColor="text1"/>
          <w:spacing w:val="-6"/>
          <w:sz w:val="32"/>
          <w:szCs w:val="32"/>
          <w:lang w:eastAsia="zh-CN"/>
        </w:rPr>
        <w:sectPr>
          <w:headerReference r:id="rId3" w:type="default"/>
          <w:footerReference r:id="rId4" w:type="default"/>
          <w:footerReference r:id="rId5" w:type="even"/>
          <w:pgSz w:w="11907" w:h="16840"/>
          <w:pgMar w:top="1701" w:right="1418" w:bottom="1134" w:left="1418" w:header="0" w:footer="1134" w:gutter="0"/>
          <w:pgNumType w:fmt="numberInDash"/>
          <w:cols w:space="720" w:num="1"/>
          <w:docGrid w:linePitch="286" w:charSpace="0"/>
        </w:sectPr>
      </w:pPr>
    </w:p>
    <w:p w14:paraId="7A06DFA2">
      <w:pPr>
        <w:widowControl w:val="0"/>
        <w:kinsoku/>
        <w:autoSpaceDE/>
        <w:autoSpaceDN/>
        <w:spacing w:line="576" w:lineRule="exact"/>
        <w:jc w:val="both"/>
        <w:rPr>
          <w:rFonts w:ascii="Times New Roman" w:hAnsi="Times New Roman" w:eastAsia="黑体" w:cs="Times New Roman"/>
          <w:color w:val="000000" w:themeColor="text1"/>
          <w:spacing w:val="-6"/>
          <w:sz w:val="32"/>
          <w:szCs w:val="32"/>
          <w:lang w:eastAsia="zh-CN"/>
        </w:rPr>
      </w:pPr>
      <w:r>
        <w:rPr>
          <w:rFonts w:ascii="Times New Roman" w:hAnsi="黑体" w:eastAsia="黑体" w:cs="Times New Roman"/>
          <w:color w:val="000000" w:themeColor="text1"/>
          <w:spacing w:val="-6"/>
          <w:sz w:val="32"/>
          <w:szCs w:val="32"/>
          <w:lang w:eastAsia="zh-CN"/>
        </w:rPr>
        <w:t>附件</w:t>
      </w:r>
    </w:p>
    <w:p w14:paraId="36FD5406">
      <w:pPr>
        <w:widowControl w:val="0"/>
        <w:kinsoku/>
        <w:autoSpaceDE/>
        <w:autoSpaceDN/>
        <w:jc w:val="center"/>
        <w:rPr>
          <w:rFonts w:ascii="Times New Roman" w:hAnsi="Times New Roman" w:eastAsia="方正小标宋简体" w:cs="Times New Roman"/>
          <w:color w:val="000000" w:themeColor="text1"/>
          <w:spacing w:val="-6"/>
          <w:sz w:val="44"/>
          <w:szCs w:val="44"/>
          <w:lang w:eastAsia="zh-CN"/>
        </w:rPr>
      </w:pPr>
      <w:r>
        <w:rPr>
          <w:rFonts w:ascii="Times New Roman" w:hAnsi="方正小标宋简体" w:eastAsia="方正小标宋简体" w:cs="Times New Roman"/>
          <w:color w:val="000000" w:themeColor="text1"/>
          <w:spacing w:val="-6"/>
          <w:sz w:val="44"/>
          <w:szCs w:val="44"/>
          <w:lang w:eastAsia="zh-CN"/>
        </w:rPr>
        <w:t>西安市临潼区大气污染治理专项行动</w:t>
      </w:r>
      <w:r>
        <w:rPr>
          <w:rFonts w:ascii="Times New Roman" w:hAnsi="Times New Roman" w:eastAsia="方正小标宋简体" w:cs="Times New Roman"/>
          <w:color w:val="000000" w:themeColor="text1"/>
          <w:spacing w:val="-6"/>
          <w:sz w:val="44"/>
          <w:szCs w:val="44"/>
          <w:lang w:eastAsia="zh-CN"/>
        </w:rPr>
        <w:t>2025</w:t>
      </w:r>
      <w:r>
        <w:rPr>
          <w:rFonts w:ascii="Times New Roman" w:hAnsi="方正小标宋简体" w:eastAsia="方正小标宋简体" w:cs="Times New Roman"/>
          <w:color w:val="000000" w:themeColor="text1"/>
          <w:spacing w:val="-6"/>
          <w:sz w:val="44"/>
          <w:szCs w:val="44"/>
          <w:lang w:eastAsia="zh-CN"/>
        </w:rPr>
        <w:t>年工作任务清单</w:t>
      </w:r>
    </w:p>
    <w:tbl>
      <w:tblPr>
        <w:tblStyle w:val="10"/>
        <w:tblW w:w="14542" w:type="dxa"/>
        <w:tblInd w:w="-1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390"/>
        <w:gridCol w:w="885"/>
        <w:gridCol w:w="1432"/>
        <w:gridCol w:w="2542"/>
        <w:gridCol w:w="3788"/>
        <w:gridCol w:w="1066"/>
        <w:gridCol w:w="1484"/>
        <w:gridCol w:w="1596"/>
        <w:gridCol w:w="1359"/>
      </w:tblGrid>
      <w:tr w14:paraId="28D1F9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259" w:hRule="atLeast"/>
          <w:tblHeader/>
        </w:trPr>
        <w:tc>
          <w:tcPr>
            <w:tcW w:w="390" w:type="dxa"/>
            <w:vAlign w:val="center"/>
          </w:tcPr>
          <w:p w14:paraId="3C625D11">
            <w:pPr>
              <w:pStyle w:val="11"/>
              <w:widowControl w:val="0"/>
              <w:kinsoku/>
              <w:autoSpaceDE/>
              <w:autoSpaceDN/>
              <w:spacing w:line="270" w:lineRule="exact"/>
              <w:jc w:val="center"/>
              <w:rPr>
                <w:rFonts w:ascii="Times New Roman" w:hAnsi="Times New Roman" w:eastAsia="黑体" w:cs="Times New Roman"/>
                <w:color w:val="000000" w:themeColor="text1"/>
                <w:spacing w:val="-6"/>
              </w:rPr>
            </w:pPr>
            <w:r>
              <w:rPr>
                <w:rFonts w:ascii="Times New Roman" w:hAnsi="Times New Roman" w:eastAsia="黑体" w:cs="Times New Roman"/>
                <w:color w:val="000000" w:themeColor="text1"/>
                <w:spacing w:val="-6"/>
              </w:rPr>
              <w:t>序号</w:t>
            </w:r>
          </w:p>
        </w:tc>
        <w:tc>
          <w:tcPr>
            <w:tcW w:w="885" w:type="dxa"/>
            <w:vAlign w:val="center"/>
          </w:tcPr>
          <w:p w14:paraId="5B837C8E">
            <w:pPr>
              <w:pStyle w:val="11"/>
              <w:widowControl w:val="0"/>
              <w:kinsoku/>
              <w:autoSpaceDE/>
              <w:autoSpaceDN/>
              <w:spacing w:line="270" w:lineRule="exact"/>
              <w:jc w:val="center"/>
              <w:rPr>
                <w:rFonts w:ascii="Times New Roman" w:hAnsi="Times New Roman" w:eastAsia="黑体" w:cs="Times New Roman"/>
                <w:color w:val="000000" w:themeColor="text1"/>
                <w:spacing w:val="-6"/>
              </w:rPr>
            </w:pPr>
            <w:r>
              <w:rPr>
                <w:rFonts w:ascii="Times New Roman" w:hAnsi="Times New Roman" w:eastAsia="黑体" w:cs="Times New Roman"/>
                <w:color w:val="000000" w:themeColor="text1"/>
                <w:spacing w:val="-6"/>
              </w:rPr>
              <w:t>类别</w:t>
            </w:r>
          </w:p>
        </w:tc>
        <w:tc>
          <w:tcPr>
            <w:tcW w:w="1432" w:type="dxa"/>
            <w:vAlign w:val="center"/>
          </w:tcPr>
          <w:p w14:paraId="6B2ADAE7">
            <w:pPr>
              <w:pStyle w:val="11"/>
              <w:widowControl w:val="0"/>
              <w:kinsoku/>
              <w:autoSpaceDE/>
              <w:autoSpaceDN/>
              <w:spacing w:line="270" w:lineRule="exact"/>
              <w:jc w:val="center"/>
              <w:rPr>
                <w:rFonts w:ascii="Times New Roman" w:hAnsi="Times New Roman" w:eastAsia="黑体" w:cs="Times New Roman"/>
                <w:color w:val="000000" w:themeColor="text1"/>
                <w:spacing w:val="-6"/>
              </w:rPr>
            </w:pPr>
            <w:r>
              <w:rPr>
                <w:rFonts w:ascii="Times New Roman" w:hAnsi="Times New Roman" w:eastAsia="黑体" w:cs="Times New Roman"/>
                <w:color w:val="000000" w:themeColor="text1"/>
                <w:spacing w:val="-6"/>
              </w:rPr>
              <w:t>重点任务</w:t>
            </w:r>
          </w:p>
        </w:tc>
        <w:tc>
          <w:tcPr>
            <w:tcW w:w="2542" w:type="dxa"/>
            <w:vAlign w:val="center"/>
          </w:tcPr>
          <w:p w14:paraId="03DD8F66">
            <w:pPr>
              <w:pStyle w:val="11"/>
              <w:widowControl w:val="0"/>
              <w:kinsoku/>
              <w:autoSpaceDE/>
              <w:autoSpaceDN/>
              <w:spacing w:line="270" w:lineRule="exact"/>
              <w:jc w:val="center"/>
              <w:rPr>
                <w:rFonts w:ascii="Times New Roman" w:hAnsi="Times New Roman" w:eastAsia="黑体" w:cs="Times New Roman"/>
                <w:color w:val="000000" w:themeColor="text1"/>
                <w:spacing w:val="-6"/>
              </w:rPr>
            </w:pPr>
            <w:r>
              <w:rPr>
                <w:rFonts w:ascii="Times New Roman" w:hAnsi="Times New Roman" w:eastAsia="黑体" w:cs="Times New Roman"/>
                <w:color w:val="000000" w:themeColor="text1"/>
                <w:spacing w:val="-6"/>
              </w:rPr>
              <w:t>工作内容</w:t>
            </w:r>
          </w:p>
        </w:tc>
        <w:tc>
          <w:tcPr>
            <w:tcW w:w="3788" w:type="dxa"/>
            <w:vAlign w:val="center"/>
          </w:tcPr>
          <w:p w14:paraId="7C20B52E">
            <w:pPr>
              <w:pStyle w:val="11"/>
              <w:widowControl w:val="0"/>
              <w:kinsoku/>
              <w:autoSpaceDE/>
              <w:autoSpaceDN/>
              <w:spacing w:line="270" w:lineRule="exact"/>
              <w:jc w:val="center"/>
              <w:rPr>
                <w:rFonts w:ascii="Times New Roman" w:hAnsi="Times New Roman" w:eastAsia="黑体" w:cs="Times New Roman"/>
                <w:color w:val="000000" w:themeColor="text1"/>
                <w:spacing w:val="-6"/>
              </w:rPr>
            </w:pPr>
            <w:r>
              <w:rPr>
                <w:rFonts w:ascii="Times New Roman" w:hAnsi="Times New Roman" w:eastAsia="黑体" w:cs="Times New Roman"/>
                <w:color w:val="000000" w:themeColor="text1"/>
                <w:spacing w:val="-6"/>
              </w:rPr>
              <w:t>具体措施</w:t>
            </w:r>
          </w:p>
        </w:tc>
        <w:tc>
          <w:tcPr>
            <w:tcW w:w="1066" w:type="dxa"/>
            <w:vAlign w:val="center"/>
          </w:tcPr>
          <w:p w14:paraId="74C29CEB">
            <w:pPr>
              <w:pStyle w:val="11"/>
              <w:widowControl w:val="0"/>
              <w:kinsoku/>
              <w:autoSpaceDE/>
              <w:autoSpaceDN/>
              <w:spacing w:line="270" w:lineRule="exact"/>
              <w:jc w:val="center"/>
              <w:rPr>
                <w:rFonts w:ascii="Times New Roman" w:hAnsi="Times New Roman" w:eastAsia="黑体" w:cs="Times New Roman"/>
                <w:color w:val="000000" w:themeColor="text1"/>
                <w:spacing w:val="-6"/>
              </w:rPr>
            </w:pPr>
            <w:r>
              <w:rPr>
                <w:rFonts w:ascii="Times New Roman" w:hAnsi="Times New Roman" w:eastAsia="黑体" w:cs="Times New Roman"/>
                <w:color w:val="000000" w:themeColor="text1"/>
                <w:spacing w:val="-6"/>
              </w:rPr>
              <w:t>完成时限</w:t>
            </w:r>
          </w:p>
        </w:tc>
        <w:tc>
          <w:tcPr>
            <w:tcW w:w="1484" w:type="dxa"/>
            <w:vAlign w:val="center"/>
          </w:tcPr>
          <w:p w14:paraId="67B377CB">
            <w:pPr>
              <w:pStyle w:val="11"/>
              <w:widowControl w:val="0"/>
              <w:kinsoku/>
              <w:autoSpaceDE/>
              <w:autoSpaceDN/>
              <w:spacing w:line="270" w:lineRule="exact"/>
              <w:jc w:val="center"/>
              <w:rPr>
                <w:rFonts w:ascii="Times New Roman" w:hAnsi="Times New Roman" w:eastAsia="黑体" w:cs="Times New Roman"/>
                <w:color w:val="000000" w:themeColor="text1"/>
                <w:spacing w:val="-6"/>
              </w:rPr>
            </w:pPr>
            <w:r>
              <w:rPr>
                <w:rFonts w:ascii="Times New Roman" w:hAnsi="Times New Roman" w:eastAsia="黑体" w:cs="Times New Roman"/>
                <w:color w:val="000000" w:themeColor="text1"/>
                <w:spacing w:val="-6"/>
              </w:rPr>
              <w:t>牵头单位</w:t>
            </w:r>
          </w:p>
        </w:tc>
        <w:tc>
          <w:tcPr>
            <w:tcW w:w="1596" w:type="dxa"/>
            <w:vAlign w:val="center"/>
          </w:tcPr>
          <w:p w14:paraId="581F3E91">
            <w:pPr>
              <w:pStyle w:val="11"/>
              <w:widowControl w:val="0"/>
              <w:kinsoku/>
              <w:autoSpaceDE/>
              <w:autoSpaceDN/>
              <w:spacing w:line="270" w:lineRule="exact"/>
              <w:jc w:val="center"/>
              <w:rPr>
                <w:rFonts w:ascii="Times New Roman" w:hAnsi="Times New Roman" w:eastAsia="黑体" w:cs="Times New Roman"/>
                <w:color w:val="000000" w:themeColor="text1"/>
                <w:spacing w:val="-6"/>
              </w:rPr>
            </w:pPr>
            <w:r>
              <w:rPr>
                <w:rFonts w:ascii="Times New Roman" w:hAnsi="Times New Roman" w:eastAsia="黑体" w:cs="Times New Roman"/>
                <w:color w:val="000000" w:themeColor="text1"/>
                <w:spacing w:val="-6"/>
              </w:rPr>
              <w:t>配合单位</w:t>
            </w:r>
          </w:p>
        </w:tc>
        <w:tc>
          <w:tcPr>
            <w:tcW w:w="1359" w:type="dxa"/>
            <w:vAlign w:val="center"/>
          </w:tcPr>
          <w:p w14:paraId="15803AEB">
            <w:pPr>
              <w:pStyle w:val="11"/>
              <w:widowControl w:val="0"/>
              <w:kinsoku/>
              <w:autoSpaceDE/>
              <w:autoSpaceDN/>
              <w:spacing w:line="270" w:lineRule="exact"/>
              <w:jc w:val="center"/>
              <w:rPr>
                <w:rFonts w:ascii="Times New Roman" w:hAnsi="Times New Roman" w:eastAsia="黑体" w:cs="Times New Roman"/>
                <w:color w:val="000000" w:themeColor="text1"/>
                <w:spacing w:val="-6"/>
              </w:rPr>
            </w:pPr>
            <w:r>
              <w:rPr>
                <w:rFonts w:ascii="Times New Roman" w:hAnsi="Times New Roman" w:eastAsia="黑体" w:cs="Times New Roman"/>
                <w:color w:val="000000" w:themeColor="text1"/>
                <w:spacing w:val="-6"/>
              </w:rPr>
              <w:t>落实单位</w:t>
            </w:r>
          </w:p>
        </w:tc>
      </w:tr>
      <w:tr w14:paraId="22B1E5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1B1AF197">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1</w:t>
            </w:r>
          </w:p>
        </w:tc>
        <w:tc>
          <w:tcPr>
            <w:tcW w:w="885" w:type="dxa"/>
            <w:vMerge w:val="restart"/>
            <w:vAlign w:val="center"/>
          </w:tcPr>
          <w:p w14:paraId="76812889">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能源消费结构调整</w:t>
            </w:r>
          </w:p>
        </w:tc>
        <w:tc>
          <w:tcPr>
            <w:tcW w:w="1432" w:type="dxa"/>
            <w:vMerge w:val="restart"/>
            <w:tcBorders>
              <w:bottom w:val="nil"/>
            </w:tcBorders>
            <w:vAlign w:val="center"/>
          </w:tcPr>
          <w:p w14:paraId="489CE764">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大力发展新能源和清洁低碳能源</w:t>
            </w:r>
          </w:p>
        </w:tc>
        <w:tc>
          <w:tcPr>
            <w:tcW w:w="2542" w:type="dxa"/>
            <w:vMerge w:val="restart"/>
            <w:tcBorders>
              <w:bottom w:val="nil"/>
            </w:tcBorders>
            <w:vAlign w:val="center"/>
          </w:tcPr>
          <w:p w14:paraId="50ABA736">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积极发展非化石能源，2025年全区非化石能源占能源消费总量比重提高到20%以上，可再生能源发电装机占比提高到30%。增加外调电量保证用电安全，到2025年电能在终端能源消费中的比重提高到27%以上。</w:t>
            </w:r>
          </w:p>
        </w:tc>
        <w:tc>
          <w:tcPr>
            <w:tcW w:w="3788" w:type="dxa"/>
            <w:vAlign w:val="center"/>
          </w:tcPr>
          <w:p w14:paraId="53BEE111">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提高光伏在可再生能源装机增长中的比重，确保可再生能源发电装机占比提高到30%。</w:t>
            </w:r>
          </w:p>
        </w:tc>
        <w:tc>
          <w:tcPr>
            <w:tcW w:w="1066" w:type="dxa"/>
            <w:vAlign w:val="center"/>
          </w:tcPr>
          <w:p w14:paraId="130C3F2D">
            <w:pPr>
              <w:pStyle w:val="11"/>
              <w:widowControl w:val="0"/>
              <w:kinsoku/>
              <w:autoSpaceDE/>
              <w:autoSpaceDN/>
              <w:spacing w:line="28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2025年12月底</w:t>
            </w:r>
          </w:p>
        </w:tc>
        <w:tc>
          <w:tcPr>
            <w:tcW w:w="1484" w:type="dxa"/>
            <w:vMerge w:val="restart"/>
            <w:tcBorders>
              <w:bottom w:val="nil"/>
            </w:tcBorders>
            <w:vAlign w:val="center"/>
          </w:tcPr>
          <w:p w14:paraId="2D93CD6E">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tc>
        <w:tc>
          <w:tcPr>
            <w:tcW w:w="1596" w:type="dxa"/>
            <w:vMerge w:val="restart"/>
            <w:tcBorders>
              <w:bottom w:val="nil"/>
            </w:tcBorders>
            <w:vAlign w:val="center"/>
          </w:tcPr>
          <w:p w14:paraId="28B97D02">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临潼供电分公司</w:t>
            </w:r>
          </w:p>
        </w:tc>
        <w:tc>
          <w:tcPr>
            <w:tcW w:w="1359" w:type="dxa"/>
            <w:vMerge w:val="restart"/>
            <w:tcBorders>
              <w:bottom w:val="nil"/>
            </w:tcBorders>
            <w:vAlign w:val="center"/>
          </w:tcPr>
          <w:p w14:paraId="06E96521">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00421A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796" w:hRule="atLeast"/>
        </w:trPr>
        <w:tc>
          <w:tcPr>
            <w:tcW w:w="390" w:type="dxa"/>
            <w:vMerge w:val="continue"/>
            <w:tcBorders>
              <w:top w:val="nil"/>
              <w:bottom w:val="nil"/>
            </w:tcBorders>
            <w:vAlign w:val="center"/>
          </w:tcPr>
          <w:p w14:paraId="1CD4017D">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04BF0378">
            <w:pPr>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bottom w:val="nil"/>
            </w:tcBorders>
            <w:vAlign w:val="center"/>
          </w:tcPr>
          <w:p w14:paraId="7C925A48">
            <w:pPr>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bottom w:val="nil"/>
            </w:tcBorders>
            <w:vAlign w:val="center"/>
          </w:tcPr>
          <w:p w14:paraId="0641D34E">
            <w:pPr>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727BFE69">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积极对接省发改委加大电力调度方面对西安市的支持力度，提升外调电比重。</w:t>
            </w:r>
          </w:p>
        </w:tc>
        <w:tc>
          <w:tcPr>
            <w:tcW w:w="1066" w:type="dxa"/>
            <w:vAlign w:val="center"/>
          </w:tcPr>
          <w:p w14:paraId="6F9CCDC9">
            <w:pPr>
              <w:pStyle w:val="11"/>
              <w:widowControl w:val="0"/>
              <w:kinsoku/>
              <w:autoSpaceDE/>
              <w:autoSpaceDN/>
              <w:spacing w:line="28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7960170F">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2190A440">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3FEF1B6B">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r>
      <w:tr w14:paraId="45F709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555" w:hRule="atLeast"/>
        </w:trPr>
        <w:tc>
          <w:tcPr>
            <w:tcW w:w="390" w:type="dxa"/>
            <w:vMerge w:val="continue"/>
            <w:tcBorders>
              <w:top w:val="nil"/>
            </w:tcBorders>
            <w:vAlign w:val="center"/>
          </w:tcPr>
          <w:p w14:paraId="387B0DF3">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6F72D752">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6D81A1CC">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54E926A6">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vAlign w:val="center"/>
          </w:tcPr>
          <w:p w14:paraId="439A13A8">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会同国网公司建立新能源接入红、黄、绿区预警信息发布机制，引导新能源建设布局、规模和时序。匹配分布式光伏建设和电网企业配电网建设计划，提升新能源消纳能力。</w:t>
            </w:r>
          </w:p>
        </w:tc>
        <w:tc>
          <w:tcPr>
            <w:tcW w:w="1066" w:type="dxa"/>
            <w:vAlign w:val="center"/>
          </w:tcPr>
          <w:p w14:paraId="059553F2">
            <w:pPr>
              <w:pStyle w:val="11"/>
              <w:widowControl w:val="0"/>
              <w:kinsoku/>
              <w:autoSpaceDE/>
              <w:autoSpaceDN/>
              <w:spacing w:line="28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2025年12月底</w:t>
            </w:r>
          </w:p>
        </w:tc>
        <w:tc>
          <w:tcPr>
            <w:tcW w:w="1484" w:type="dxa"/>
            <w:vMerge w:val="continue"/>
            <w:tcBorders>
              <w:top w:val="nil"/>
            </w:tcBorders>
            <w:vAlign w:val="center"/>
          </w:tcPr>
          <w:p w14:paraId="773608CB">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6A29E511">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4122A023">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r>
      <w:tr w14:paraId="3B2253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90" w:hRule="atLeast"/>
        </w:trPr>
        <w:tc>
          <w:tcPr>
            <w:tcW w:w="390" w:type="dxa"/>
            <w:vAlign w:val="center"/>
          </w:tcPr>
          <w:p w14:paraId="6E75AFE2">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2</w:t>
            </w:r>
          </w:p>
        </w:tc>
        <w:tc>
          <w:tcPr>
            <w:tcW w:w="885" w:type="dxa"/>
            <w:vMerge w:val="continue"/>
            <w:vAlign w:val="center"/>
          </w:tcPr>
          <w:p w14:paraId="2425CCD8">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Align w:val="center"/>
          </w:tcPr>
          <w:p w14:paraId="0C177ABE">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持续加强煤炭消费总量控制</w:t>
            </w:r>
          </w:p>
        </w:tc>
        <w:tc>
          <w:tcPr>
            <w:tcW w:w="2542" w:type="dxa"/>
            <w:vAlign w:val="center"/>
          </w:tcPr>
          <w:p w14:paraId="438C449D">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严禁新增煤电装机规模，加快推进煤炭消费总量消减，2025年底实现全区煤炭消费负增长。</w:t>
            </w:r>
          </w:p>
        </w:tc>
        <w:tc>
          <w:tcPr>
            <w:tcW w:w="3788" w:type="dxa"/>
            <w:vAlign w:val="center"/>
          </w:tcPr>
          <w:p w14:paraId="0109A2AD">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066" w:type="dxa"/>
            <w:vAlign w:val="center"/>
          </w:tcPr>
          <w:p w14:paraId="25DB4CED">
            <w:pPr>
              <w:pStyle w:val="11"/>
              <w:widowControl w:val="0"/>
              <w:kinsoku/>
              <w:autoSpaceDE/>
              <w:autoSpaceDN/>
              <w:spacing w:line="28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68CC6C29">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tc>
        <w:tc>
          <w:tcPr>
            <w:tcW w:w="1596" w:type="dxa"/>
            <w:vAlign w:val="center"/>
          </w:tcPr>
          <w:p w14:paraId="1099E5D7">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45D7CCF0">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0A272C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214" w:hRule="atLeast"/>
        </w:trPr>
        <w:tc>
          <w:tcPr>
            <w:tcW w:w="390" w:type="dxa"/>
            <w:vMerge w:val="restart"/>
            <w:tcBorders>
              <w:bottom w:val="nil"/>
            </w:tcBorders>
            <w:vAlign w:val="center"/>
          </w:tcPr>
          <w:p w14:paraId="6C1E49EA">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3</w:t>
            </w:r>
          </w:p>
        </w:tc>
        <w:tc>
          <w:tcPr>
            <w:tcW w:w="885" w:type="dxa"/>
            <w:vMerge w:val="restart"/>
            <w:tcBorders>
              <w:top w:val="single" w:color="auto" w:sz="4" w:space="0"/>
            </w:tcBorders>
            <w:vAlign w:val="center"/>
          </w:tcPr>
          <w:p w14:paraId="0FBCCB0B">
            <w:pPr>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城市供热结构调整</w:t>
            </w:r>
          </w:p>
        </w:tc>
        <w:tc>
          <w:tcPr>
            <w:tcW w:w="1432" w:type="dxa"/>
            <w:vMerge w:val="restart"/>
            <w:tcBorders>
              <w:bottom w:val="nil"/>
            </w:tcBorders>
            <w:vAlign w:val="center"/>
          </w:tcPr>
          <w:p w14:paraId="6D15D32F">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持续优化供热运营模式</w:t>
            </w:r>
          </w:p>
        </w:tc>
        <w:tc>
          <w:tcPr>
            <w:tcW w:w="2542" w:type="dxa"/>
            <w:vMerge w:val="restart"/>
            <w:tcBorders>
              <w:bottom w:val="nil"/>
            </w:tcBorders>
            <w:shd w:val="clear" w:color="FFFFFF" w:themeColor="background1" w:fill="auto"/>
            <w:vAlign w:val="center"/>
          </w:tcPr>
          <w:p w14:paraId="20C8AC28">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整合现有供热模式，实现供热管网互联互通、热源多能互补，合理调配使用全区供热资源。有计划实施地热能、空气源热泵、污水源热泵等多种新能源供热模式。</w:t>
            </w:r>
          </w:p>
        </w:tc>
        <w:tc>
          <w:tcPr>
            <w:tcW w:w="3788" w:type="dxa"/>
            <w:shd w:val="clear" w:color="FFFFFF" w:themeColor="background1" w:fill="auto"/>
            <w:vAlign w:val="center"/>
          </w:tcPr>
          <w:p w14:paraId="1B348DDD">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原则上全区不再新建燃气供热站，具备条件的新建小区、商业体推广使用地热能、空气源热泵、污水源热泵等清洁供暖技术。</w:t>
            </w:r>
          </w:p>
        </w:tc>
        <w:tc>
          <w:tcPr>
            <w:tcW w:w="1066" w:type="dxa"/>
            <w:vAlign w:val="center"/>
          </w:tcPr>
          <w:p w14:paraId="6D291E38">
            <w:pPr>
              <w:pStyle w:val="11"/>
              <w:widowControl w:val="0"/>
              <w:kinsoku/>
              <w:autoSpaceDE/>
              <w:autoSpaceDN/>
              <w:spacing w:line="28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415F7D24">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tc>
        <w:tc>
          <w:tcPr>
            <w:tcW w:w="1596" w:type="dxa"/>
            <w:vMerge w:val="restart"/>
            <w:tcBorders>
              <w:bottom w:val="nil"/>
            </w:tcBorders>
            <w:vAlign w:val="center"/>
          </w:tcPr>
          <w:p w14:paraId="5A4152F5">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0D2DD58F">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区财政局</w:t>
            </w:r>
          </w:p>
          <w:p w14:paraId="0329E9AC">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资源规划分局</w:t>
            </w:r>
          </w:p>
          <w:p w14:paraId="239EE7F8">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p w14:paraId="5070DC92">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区城投集团</w:t>
            </w:r>
          </w:p>
          <w:p w14:paraId="4310C7F1">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区城建集团</w:t>
            </w:r>
          </w:p>
        </w:tc>
        <w:tc>
          <w:tcPr>
            <w:tcW w:w="1359" w:type="dxa"/>
            <w:vMerge w:val="restart"/>
            <w:tcBorders>
              <w:bottom w:val="nil"/>
            </w:tcBorders>
            <w:vAlign w:val="center"/>
          </w:tcPr>
          <w:p w14:paraId="062C233D">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2B75E8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442" w:hRule="atLeast"/>
        </w:trPr>
        <w:tc>
          <w:tcPr>
            <w:tcW w:w="390" w:type="dxa"/>
            <w:vMerge w:val="continue"/>
            <w:tcBorders>
              <w:top w:val="nil"/>
            </w:tcBorders>
            <w:vAlign w:val="center"/>
          </w:tcPr>
          <w:p w14:paraId="72C95EB6">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tcBorders>
              <w:top w:val="nil"/>
              <w:bottom w:val="single" w:color="auto" w:sz="4" w:space="0"/>
            </w:tcBorders>
            <w:vAlign w:val="center"/>
          </w:tcPr>
          <w:p w14:paraId="3F493962">
            <w:pPr>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tcBorders>
            <w:vAlign w:val="center"/>
          </w:tcPr>
          <w:p w14:paraId="6B72067C">
            <w:pPr>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tcBorders>
            <w:shd w:val="clear" w:color="FFFFFF" w:themeColor="background1" w:fill="auto"/>
            <w:vAlign w:val="center"/>
          </w:tcPr>
          <w:p w14:paraId="698F5D02">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p>
        </w:tc>
        <w:tc>
          <w:tcPr>
            <w:tcW w:w="3788" w:type="dxa"/>
            <w:shd w:val="clear" w:color="FFFFFF" w:themeColor="background1" w:fill="auto"/>
            <w:vAlign w:val="center"/>
          </w:tcPr>
          <w:p w14:paraId="69402B20">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在2024年试点开展清洁供暖改造基础上，制定奖励政策，2025年我区至少完成1—2个可再生能源清洁供暖改造试点项目。</w:t>
            </w:r>
          </w:p>
        </w:tc>
        <w:tc>
          <w:tcPr>
            <w:tcW w:w="1066" w:type="dxa"/>
            <w:vAlign w:val="center"/>
          </w:tcPr>
          <w:p w14:paraId="3AC1BF57">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35302918">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37F0FB38">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7FC52243">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r>
      <w:tr w14:paraId="561144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Align w:val="center"/>
          </w:tcPr>
          <w:p w14:paraId="5C025D0B">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4</w:t>
            </w:r>
          </w:p>
        </w:tc>
        <w:tc>
          <w:tcPr>
            <w:tcW w:w="885" w:type="dxa"/>
            <w:vMerge w:val="continue"/>
            <w:tcBorders>
              <w:top w:val="nil"/>
            </w:tcBorders>
            <w:vAlign w:val="center"/>
          </w:tcPr>
          <w:p w14:paraId="499B95DE">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Align w:val="center"/>
          </w:tcPr>
          <w:p w14:paraId="33119D71">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大力发展清洁取暖方式</w:t>
            </w:r>
          </w:p>
        </w:tc>
        <w:tc>
          <w:tcPr>
            <w:tcW w:w="2542" w:type="dxa"/>
            <w:shd w:val="clear" w:color="FFFFFF" w:themeColor="background1" w:fill="auto"/>
            <w:vAlign w:val="center"/>
          </w:tcPr>
          <w:p w14:paraId="626E14D8">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完成市上下达我区地热能供暖面积指标。新建居民住宅、商业综合体等必须使用清洁能源取暖。持续推进用户侧建筑能效提升改造、供热管网保温及智能调控改造。</w:t>
            </w:r>
          </w:p>
        </w:tc>
        <w:tc>
          <w:tcPr>
            <w:tcW w:w="3788" w:type="dxa"/>
            <w:shd w:val="clear" w:color="FFFFFF" w:themeColor="background1" w:fill="auto"/>
            <w:vAlign w:val="center"/>
          </w:tcPr>
          <w:p w14:paraId="4E0B4179">
            <w:pPr>
              <w:widowControl w:val="0"/>
              <w:kinsoku/>
              <w:autoSpaceDE/>
              <w:autoSpaceDN/>
              <w:spacing w:line="270" w:lineRule="exact"/>
              <w:jc w:val="center"/>
              <w:rPr>
                <w:rFonts w:ascii="Times New Roman" w:hAnsi="Times New Roman" w:cs="Times New Roman" w:eastAsiaTheme="minorEastAsia"/>
                <w:color w:val="000000" w:themeColor="text1"/>
                <w:lang w:eastAsia="zh-CN"/>
              </w:rPr>
            </w:pPr>
            <w:r>
              <w:rPr>
                <w:rFonts w:ascii="Times New Roman" w:hAnsi="Times New Roman" w:cs="Times New Roman" w:eastAsiaTheme="minorEastAsia"/>
                <w:color w:val="000000" w:themeColor="text1"/>
                <w:lang w:eastAsia="zh-CN"/>
              </w:rPr>
              <w:t>/</w:t>
            </w:r>
          </w:p>
        </w:tc>
        <w:tc>
          <w:tcPr>
            <w:tcW w:w="1066" w:type="dxa"/>
            <w:vAlign w:val="center"/>
          </w:tcPr>
          <w:p w14:paraId="39CB2434">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71383AE6">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tc>
        <w:tc>
          <w:tcPr>
            <w:tcW w:w="1596" w:type="dxa"/>
            <w:vAlign w:val="center"/>
          </w:tcPr>
          <w:p w14:paraId="413FD4CF">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655D40DF">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资源规划分局</w:t>
            </w:r>
          </w:p>
          <w:p w14:paraId="70985CB5">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tc>
        <w:tc>
          <w:tcPr>
            <w:tcW w:w="1359" w:type="dxa"/>
            <w:vAlign w:val="center"/>
          </w:tcPr>
          <w:p w14:paraId="17374BBD">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77FD86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565E3AAE">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5</w:t>
            </w:r>
          </w:p>
        </w:tc>
        <w:tc>
          <w:tcPr>
            <w:tcW w:w="885" w:type="dxa"/>
            <w:vMerge w:val="restart"/>
            <w:vAlign w:val="center"/>
          </w:tcPr>
          <w:p w14:paraId="08F49156">
            <w:pPr>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产业发展结构调整</w:t>
            </w:r>
          </w:p>
        </w:tc>
        <w:tc>
          <w:tcPr>
            <w:tcW w:w="1432" w:type="dxa"/>
            <w:vMerge w:val="restart"/>
            <w:tcBorders>
              <w:bottom w:val="nil"/>
            </w:tcBorders>
            <w:vAlign w:val="center"/>
          </w:tcPr>
          <w:p w14:paraId="3BBB43A4">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强化源头管控</w:t>
            </w:r>
          </w:p>
        </w:tc>
        <w:tc>
          <w:tcPr>
            <w:tcW w:w="2542" w:type="dxa"/>
            <w:vMerge w:val="restart"/>
            <w:tcBorders>
              <w:bottom w:val="nil"/>
            </w:tcBorders>
            <w:vAlign w:val="center"/>
          </w:tcPr>
          <w:p w14:paraId="31B24AAC">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落实国家和省、市产业规划、产业政策、生态环境分区管控、规划环评、重点污染物总量控制、污染物排放区域削减等要求，积极推行区域、规划环境影响评价，新改扩建化工、石化、建材、有色等项目的环境影响评价应满足区域和规划环评要求。</w:t>
            </w:r>
          </w:p>
        </w:tc>
        <w:tc>
          <w:tcPr>
            <w:tcW w:w="3788" w:type="dxa"/>
            <w:vAlign w:val="center"/>
          </w:tcPr>
          <w:p w14:paraId="253F905C">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所有新改扩建项目严格落实国家和省、市产业规划、产业政策、生态环境分区管控、规划环评等要求。</w:t>
            </w:r>
          </w:p>
        </w:tc>
        <w:tc>
          <w:tcPr>
            <w:tcW w:w="1066" w:type="dxa"/>
            <w:vAlign w:val="center"/>
          </w:tcPr>
          <w:p w14:paraId="741AE51B">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237B78D3">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607A93B4">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Merge w:val="restart"/>
            <w:tcBorders>
              <w:bottom w:val="nil"/>
            </w:tcBorders>
            <w:vAlign w:val="center"/>
          </w:tcPr>
          <w:p w14:paraId="1D5B5252">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11216D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2F2A53C5">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5AB2E596">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bottom w:val="nil"/>
            </w:tcBorders>
            <w:vAlign w:val="center"/>
          </w:tcPr>
          <w:p w14:paraId="3D0B8E40">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bottom w:val="nil"/>
            </w:tcBorders>
            <w:vAlign w:val="center"/>
          </w:tcPr>
          <w:p w14:paraId="5DDECF48">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343572ED">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严把项目环境准入关，新增涉气项目严格执行VOCs、NOx等主要污染物排放总量控制，实施等量替代审批和备案制度。</w:t>
            </w:r>
          </w:p>
        </w:tc>
        <w:tc>
          <w:tcPr>
            <w:tcW w:w="1066" w:type="dxa"/>
            <w:vAlign w:val="center"/>
          </w:tcPr>
          <w:p w14:paraId="339E45A7">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7DFFAD5F">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481F019F">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331453F1">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r>
      <w:tr w14:paraId="4AF5C1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286" w:hRule="atLeast"/>
        </w:trPr>
        <w:tc>
          <w:tcPr>
            <w:tcW w:w="390" w:type="dxa"/>
            <w:vAlign w:val="center"/>
          </w:tcPr>
          <w:p w14:paraId="164D57E5">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6</w:t>
            </w:r>
          </w:p>
        </w:tc>
        <w:tc>
          <w:tcPr>
            <w:tcW w:w="885" w:type="dxa"/>
            <w:vMerge w:val="continue"/>
            <w:vAlign w:val="center"/>
          </w:tcPr>
          <w:p w14:paraId="4638A3A2">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07EFDB80">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6D8B14B0">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3788" w:type="dxa"/>
            <w:vAlign w:val="center"/>
          </w:tcPr>
          <w:p w14:paraId="648F9AA6">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新、改、扩建项目严格落实各项准入要求，原则上采用清洁运输方式，对属于节能降碳工业重点领域的新建项目必须按照能效标杆水平建设。</w:t>
            </w:r>
          </w:p>
        </w:tc>
        <w:tc>
          <w:tcPr>
            <w:tcW w:w="1066" w:type="dxa"/>
            <w:vAlign w:val="center"/>
          </w:tcPr>
          <w:p w14:paraId="3E32B684">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7D6CBD61">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4A6187BF">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区数据和行政审批局</w:t>
            </w:r>
          </w:p>
        </w:tc>
        <w:tc>
          <w:tcPr>
            <w:tcW w:w="1596" w:type="dxa"/>
            <w:vAlign w:val="center"/>
          </w:tcPr>
          <w:p w14:paraId="025338FC">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003AD7CC">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33E966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479" w:hRule="atLeast"/>
        </w:trPr>
        <w:tc>
          <w:tcPr>
            <w:tcW w:w="390" w:type="dxa"/>
            <w:vMerge w:val="restart"/>
            <w:tcBorders>
              <w:bottom w:val="nil"/>
            </w:tcBorders>
            <w:vAlign w:val="center"/>
          </w:tcPr>
          <w:p w14:paraId="7597E72F">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7</w:t>
            </w:r>
          </w:p>
        </w:tc>
        <w:tc>
          <w:tcPr>
            <w:tcW w:w="885" w:type="dxa"/>
            <w:vMerge w:val="continue"/>
            <w:vAlign w:val="center"/>
          </w:tcPr>
          <w:p w14:paraId="41C8BCDC">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restart"/>
            <w:tcBorders>
              <w:bottom w:val="nil"/>
            </w:tcBorders>
            <w:vAlign w:val="center"/>
          </w:tcPr>
          <w:p w14:paraId="1A2F4FD9">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严格新、改、扩建涉气重点行业绩效评级限制条件</w:t>
            </w:r>
          </w:p>
        </w:tc>
        <w:tc>
          <w:tcPr>
            <w:tcW w:w="2542" w:type="dxa"/>
            <w:vMerge w:val="restart"/>
            <w:tcBorders>
              <w:bottom w:val="nil"/>
            </w:tcBorders>
            <w:vAlign w:val="center"/>
          </w:tcPr>
          <w:p w14:paraId="69894F42">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新改扩建涉气重点行业企业应达到环保绩效A级、绩效引领性水平。</w:t>
            </w:r>
          </w:p>
        </w:tc>
        <w:tc>
          <w:tcPr>
            <w:tcW w:w="3788" w:type="dxa"/>
            <w:vAlign w:val="center"/>
          </w:tcPr>
          <w:p w14:paraId="43BC3AC2">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严格审批手续，把好准入关。</w:t>
            </w:r>
          </w:p>
        </w:tc>
        <w:tc>
          <w:tcPr>
            <w:tcW w:w="1066" w:type="dxa"/>
            <w:vAlign w:val="center"/>
          </w:tcPr>
          <w:p w14:paraId="28954073">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47C74A07">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4337FA74">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66E1B8A5">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tc>
        <w:tc>
          <w:tcPr>
            <w:tcW w:w="1359" w:type="dxa"/>
            <w:vMerge w:val="restart"/>
            <w:tcBorders>
              <w:bottom w:val="nil"/>
            </w:tcBorders>
            <w:vAlign w:val="center"/>
          </w:tcPr>
          <w:p w14:paraId="0D6B3B37">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5B8649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4DC7E715">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2A723879">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tcBorders>
            <w:vAlign w:val="center"/>
          </w:tcPr>
          <w:p w14:paraId="1894DBB8">
            <w:pPr>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tcBorders>
            <w:vAlign w:val="center"/>
          </w:tcPr>
          <w:p w14:paraId="78CB8EE1">
            <w:pPr>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08E7972C">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严格落实“三同时”制度，加强建设期间监管。</w:t>
            </w:r>
          </w:p>
        </w:tc>
        <w:tc>
          <w:tcPr>
            <w:tcW w:w="1066" w:type="dxa"/>
            <w:vAlign w:val="center"/>
          </w:tcPr>
          <w:p w14:paraId="255A3EB1">
            <w:pPr>
              <w:pStyle w:val="11"/>
              <w:widowControl w:val="0"/>
              <w:kinsoku/>
              <w:autoSpaceDE/>
              <w:autoSpaceDN/>
              <w:spacing w:line="3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49B2A5BB">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36701AF9">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7AC4314A">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r>
      <w:tr w14:paraId="6BDEC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644" w:hRule="atLeast"/>
        </w:trPr>
        <w:tc>
          <w:tcPr>
            <w:tcW w:w="390" w:type="dxa"/>
            <w:vAlign w:val="center"/>
          </w:tcPr>
          <w:p w14:paraId="039E7E7C">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8</w:t>
            </w:r>
          </w:p>
        </w:tc>
        <w:tc>
          <w:tcPr>
            <w:tcW w:w="885" w:type="dxa"/>
            <w:vMerge w:val="continue"/>
            <w:tcBorders>
              <w:bottom w:val="single" w:color="auto" w:sz="4" w:space="0"/>
            </w:tcBorders>
            <w:vAlign w:val="center"/>
          </w:tcPr>
          <w:p w14:paraId="311A860C">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Align w:val="center"/>
          </w:tcPr>
          <w:p w14:paraId="150464B6">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依法依规淘汰落后产能</w:t>
            </w:r>
          </w:p>
        </w:tc>
        <w:tc>
          <w:tcPr>
            <w:tcW w:w="2542" w:type="dxa"/>
            <w:vAlign w:val="center"/>
          </w:tcPr>
          <w:p w14:paraId="19B5D4C8">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按照产业结构调整指导目录依规予以淘汰。</w:t>
            </w:r>
          </w:p>
        </w:tc>
        <w:tc>
          <w:tcPr>
            <w:tcW w:w="3788" w:type="dxa"/>
            <w:vAlign w:val="center"/>
          </w:tcPr>
          <w:p w14:paraId="4521D301">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按照《产业结构调整指导目录》（2024年本），制定《2025年依法依规淘汰落后产能工作方案》。建立涉及淘汰类、限制类工艺和装备的企业清单，制定淘汰计划和退出计划，按期完成改造，淘汰任务。</w:t>
            </w:r>
          </w:p>
        </w:tc>
        <w:tc>
          <w:tcPr>
            <w:tcW w:w="1066" w:type="dxa"/>
            <w:vAlign w:val="center"/>
          </w:tcPr>
          <w:p w14:paraId="04FC0B5D">
            <w:pPr>
              <w:pStyle w:val="11"/>
              <w:widowControl w:val="0"/>
              <w:kinsoku/>
              <w:autoSpaceDE/>
              <w:autoSpaceDN/>
              <w:spacing w:line="29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2025年12月底</w:t>
            </w:r>
          </w:p>
        </w:tc>
        <w:tc>
          <w:tcPr>
            <w:tcW w:w="1484" w:type="dxa"/>
            <w:vAlign w:val="center"/>
          </w:tcPr>
          <w:p w14:paraId="71DE1356">
            <w:pPr>
              <w:pStyle w:val="11"/>
              <w:widowControl w:val="0"/>
              <w:kinsoku/>
              <w:autoSpaceDE/>
              <w:autoSpaceDN/>
              <w:spacing w:line="29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tc>
        <w:tc>
          <w:tcPr>
            <w:tcW w:w="1596" w:type="dxa"/>
            <w:vAlign w:val="center"/>
          </w:tcPr>
          <w:p w14:paraId="6087859D">
            <w:pPr>
              <w:pStyle w:val="11"/>
              <w:widowControl w:val="0"/>
              <w:kinsoku/>
              <w:autoSpaceDE/>
              <w:autoSpaceDN/>
              <w:spacing w:line="29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410C93F9">
            <w:pPr>
              <w:pStyle w:val="11"/>
              <w:widowControl w:val="0"/>
              <w:kinsoku/>
              <w:autoSpaceDE/>
              <w:autoSpaceDN/>
              <w:spacing w:line="29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区应急管理局</w:t>
            </w:r>
          </w:p>
          <w:p w14:paraId="0288E659">
            <w:pPr>
              <w:pStyle w:val="11"/>
              <w:widowControl w:val="0"/>
              <w:kinsoku/>
              <w:autoSpaceDE/>
              <w:autoSpaceDN/>
              <w:spacing w:line="29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p w14:paraId="46405EB2">
            <w:pPr>
              <w:pStyle w:val="11"/>
              <w:widowControl w:val="0"/>
              <w:kinsoku/>
              <w:autoSpaceDE/>
              <w:autoSpaceDN/>
              <w:spacing w:line="29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359" w:type="dxa"/>
            <w:vAlign w:val="center"/>
          </w:tcPr>
          <w:p w14:paraId="03E3CB95">
            <w:pPr>
              <w:pStyle w:val="11"/>
              <w:widowControl w:val="0"/>
              <w:kinsoku/>
              <w:autoSpaceDE/>
              <w:autoSpaceDN/>
              <w:spacing w:line="31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4CB631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vAlign w:val="center"/>
          </w:tcPr>
          <w:p w14:paraId="4EABF5BA">
            <w:pPr>
              <w:spacing w:line="250" w:lineRule="exact"/>
              <w:jc w:val="center"/>
              <w:textAlignment w:val="center"/>
              <w:rPr>
                <w:rFonts w:ascii="Times New Roman" w:hAnsi="Times New Roman" w:cs="Times New Roman" w:eastAsiaTheme="minorEastAsia"/>
                <w:color w:val="FF0000"/>
                <w:spacing w:val="-6"/>
              </w:rPr>
            </w:pPr>
            <w:r>
              <w:rPr>
                <w:rFonts w:ascii="Times New Roman" w:hAnsi="Times New Roman" w:eastAsia="宋体" w:cs="Times New Roman"/>
                <w:lang w:eastAsia="zh-CN"/>
              </w:rPr>
              <w:t>9</w:t>
            </w:r>
          </w:p>
        </w:tc>
        <w:tc>
          <w:tcPr>
            <w:tcW w:w="885" w:type="dxa"/>
            <w:vMerge w:val="restart"/>
            <w:tcBorders>
              <w:top w:val="single" w:color="auto" w:sz="4" w:space="0"/>
            </w:tcBorders>
            <w:vAlign w:val="center"/>
          </w:tcPr>
          <w:p w14:paraId="61841E6A">
            <w:pPr>
              <w:widowControl w:val="0"/>
              <w:kinsoku/>
              <w:autoSpaceDE/>
              <w:autoSpaceDN/>
              <w:spacing w:line="250" w:lineRule="exact"/>
              <w:jc w:val="center"/>
              <w:rPr>
                <w:rFonts w:ascii="Times New Roman" w:hAnsi="Times New Roman" w:cs="Times New Roman" w:eastAsiaTheme="minorEastAsia"/>
                <w:color w:val="FF0000"/>
                <w:spacing w:val="-6"/>
              </w:rPr>
            </w:pPr>
            <w:r>
              <w:rPr>
                <w:rFonts w:ascii="Times New Roman" w:hAnsi="Times New Roman" w:cs="Times New Roman" w:eastAsiaTheme="minorEastAsia"/>
                <w:color w:val="000000" w:themeColor="text1"/>
                <w:spacing w:val="-6"/>
              </w:rPr>
              <w:t>产业发展结构调整</w:t>
            </w:r>
          </w:p>
        </w:tc>
        <w:tc>
          <w:tcPr>
            <w:tcW w:w="1432" w:type="dxa"/>
            <w:vMerge w:val="restart"/>
            <w:vAlign w:val="center"/>
          </w:tcPr>
          <w:p w14:paraId="4D18161C">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加快推动产业结构升级</w:t>
            </w:r>
          </w:p>
        </w:tc>
        <w:tc>
          <w:tcPr>
            <w:tcW w:w="2542" w:type="dxa"/>
            <w:vAlign w:val="center"/>
          </w:tcPr>
          <w:p w14:paraId="240A03DA">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落实《关中地区产业结构调整实施方案》相关要求，用好“两重”“两新”相关政策。</w:t>
            </w:r>
          </w:p>
        </w:tc>
        <w:tc>
          <w:tcPr>
            <w:tcW w:w="3788" w:type="dxa"/>
            <w:vAlign w:val="center"/>
          </w:tcPr>
          <w:p w14:paraId="5FCAC8B3">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支持限制类项目升级改造，逐步退出未完全升级改造限制类涉气行业工艺和装备，启动实施一批节能降碳改造升级项目：提升重点领域产能能效标杆水平比例。</w:t>
            </w:r>
          </w:p>
        </w:tc>
        <w:tc>
          <w:tcPr>
            <w:tcW w:w="1066" w:type="dxa"/>
            <w:vAlign w:val="center"/>
          </w:tcPr>
          <w:p w14:paraId="183D4417">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2025年12月底</w:t>
            </w:r>
          </w:p>
        </w:tc>
        <w:tc>
          <w:tcPr>
            <w:tcW w:w="1484" w:type="dxa"/>
            <w:vAlign w:val="center"/>
          </w:tcPr>
          <w:p w14:paraId="3CC6D4E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4B60B5E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tc>
        <w:tc>
          <w:tcPr>
            <w:tcW w:w="1596" w:type="dxa"/>
            <w:vAlign w:val="center"/>
          </w:tcPr>
          <w:p w14:paraId="337683F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资源规划分局</w:t>
            </w:r>
          </w:p>
          <w:p w14:paraId="7D94F8AE">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359" w:type="dxa"/>
            <w:vAlign w:val="center"/>
          </w:tcPr>
          <w:p w14:paraId="0F4C3B6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45C272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vAlign w:val="center"/>
          </w:tcPr>
          <w:p w14:paraId="1427C265">
            <w:pPr>
              <w:spacing w:line="250" w:lineRule="exact"/>
              <w:jc w:val="center"/>
              <w:textAlignment w:val="center"/>
              <w:rPr>
                <w:rFonts w:ascii="Times New Roman" w:hAnsi="Times New Roman" w:eastAsia="宋体" w:cs="Times New Roman"/>
                <w:lang w:eastAsia="zh-CN"/>
              </w:rPr>
            </w:pPr>
          </w:p>
        </w:tc>
        <w:tc>
          <w:tcPr>
            <w:tcW w:w="885" w:type="dxa"/>
            <w:vMerge w:val="continue"/>
            <w:vAlign w:val="center"/>
          </w:tcPr>
          <w:p w14:paraId="5ECDB32D">
            <w:pPr>
              <w:widowControl w:val="0"/>
              <w:kinsoku/>
              <w:autoSpaceDE/>
              <w:autoSpaceDN/>
              <w:spacing w:line="250" w:lineRule="exact"/>
              <w:jc w:val="center"/>
              <w:rPr>
                <w:rFonts w:ascii="Times New Roman" w:hAnsi="Times New Roman" w:cs="Times New Roman" w:eastAsiaTheme="minorEastAsia"/>
                <w:color w:val="FF0000"/>
                <w:spacing w:val="-6"/>
                <w:lang w:eastAsia="zh-CN"/>
              </w:rPr>
            </w:pPr>
          </w:p>
        </w:tc>
        <w:tc>
          <w:tcPr>
            <w:tcW w:w="1432" w:type="dxa"/>
            <w:vMerge w:val="continue"/>
            <w:vAlign w:val="center"/>
          </w:tcPr>
          <w:p w14:paraId="79874253">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p>
        </w:tc>
        <w:tc>
          <w:tcPr>
            <w:tcW w:w="2542" w:type="dxa"/>
            <w:vAlign w:val="center"/>
          </w:tcPr>
          <w:p w14:paraId="0B3C7174">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2025年底前，完成全区工业涂装企业清洁生产审核及独立粉磨站超低排放改造。</w:t>
            </w:r>
          </w:p>
        </w:tc>
        <w:tc>
          <w:tcPr>
            <w:tcW w:w="3788" w:type="dxa"/>
            <w:vAlign w:val="center"/>
          </w:tcPr>
          <w:p w14:paraId="665F7A2C">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066" w:type="dxa"/>
            <w:vAlign w:val="center"/>
          </w:tcPr>
          <w:p w14:paraId="6B5C88A5">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2025年12月底</w:t>
            </w:r>
          </w:p>
        </w:tc>
        <w:tc>
          <w:tcPr>
            <w:tcW w:w="1484" w:type="dxa"/>
            <w:vAlign w:val="center"/>
          </w:tcPr>
          <w:p w14:paraId="230E4E85">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rPr>
              <w:t>生态环境</w:t>
            </w:r>
            <w:r>
              <w:rPr>
                <w:rFonts w:ascii="Times New Roman" w:hAnsi="Times New Roman" w:cs="Times New Roman" w:eastAsiaTheme="minorEastAsia"/>
                <w:color w:val="000000" w:themeColor="text1"/>
                <w:spacing w:val="-6"/>
                <w:lang w:eastAsia="zh-CN"/>
              </w:rPr>
              <w:t>分</w:t>
            </w:r>
            <w:r>
              <w:rPr>
                <w:rFonts w:ascii="Times New Roman" w:hAnsi="Times New Roman" w:cs="Times New Roman" w:eastAsiaTheme="minorEastAsia"/>
                <w:color w:val="000000" w:themeColor="text1"/>
                <w:spacing w:val="-6"/>
              </w:rPr>
              <w:t>局</w:t>
            </w:r>
          </w:p>
        </w:tc>
        <w:tc>
          <w:tcPr>
            <w:tcW w:w="1596" w:type="dxa"/>
            <w:vAlign w:val="center"/>
          </w:tcPr>
          <w:p w14:paraId="0CBED5AD">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tc>
        <w:tc>
          <w:tcPr>
            <w:tcW w:w="1359" w:type="dxa"/>
            <w:vAlign w:val="center"/>
          </w:tcPr>
          <w:p w14:paraId="7168DB59">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3561E3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719" w:hRule="atLeast"/>
        </w:trPr>
        <w:tc>
          <w:tcPr>
            <w:tcW w:w="390" w:type="dxa"/>
            <w:vAlign w:val="center"/>
          </w:tcPr>
          <w:p w14:paraId="389A4A80">
            <w:pPr>
              <w:spacing w:line="250" w:lineRule="exact"/>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10</w:t>
            </w:r>
          </w:p>
        </w:tc>
        <w:tc>
          <w:tcPr>
            <w:tcW w:w="885" w:type="dxa"/>
            <w:vAlign w:val="center"/>
          </w:tcPr>
          <w:p w14:paraId="6B37975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交通运输结构调整</w:t>
            </w:r>
          </w:p>
        </w:tc>
        <w:tc>
          <w:tcPr>
            <w:tcW w:w="1432" w:type="dxa"/>
            <w:vAlign w:val="center"/>
          </w:tcPr>
          <w:p w14:paraId="09034329">
            <w:pPr>
              <w:pStyle w:val="11"/>
              <w:widowControl w:val="0"/>
              <w:kinsoku/>
              <w:autoSpaceDE/>
              <w:autoSpaceDN/>
              <w:spacing w:line="25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优化调整货运结构</w:t>
            </w:r>
          </w:p>
        </w:tc>
        <w:tc>
          <w:tcPr>
            <w:tcW w:w="2542" w:type="dxa"/>
            <w:vAlign w:val="center"/>
          </w:tcPr>
          <w:p w14:paraId="7D562835">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落实《陕西省交通运输结构调整专项工作实施方案》相关要求。</w:t>
            </w:r>
          </w:p>
        </w:tc>
        <w:tc>
          <w:tcPr>
            <w:tcW w:w="3788" w:type="dxa"/>
            <w:vAlign w:val="center"/>
          </w:tcPr>
          <w:p w14:paraId="7202512D">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推动打造清洁运输先行引领区，培育一批清洁运输企业。在水泥、物流园区推广新能源中重型货车，发展零排放货运车队。</w:t>
            </w:r>
          </w:p>
        </w:tc>
        <w:tc>
          <w:tcPr>
            <w:tcW w:w="1066" w:type="dxa"/>
            <w:vAlign w:val="center"/>
          </w:tcPr>
          <w:p w14:paraId="653AE645">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2025年12月底</w:t>
            </w:r>
          </w:p>
        </w:tc>
        <w:tc>
          <w:tcPr>
            <w:tcW w:w="1484" w:type="dxa"/>
            <w:vAlign w:val="center"/>
          </w:tcPr>
          <w:p w14:paraId="0D85E40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596" w:type="dxa"/>
            <w:vAlign w:val="center"/>
          </w:tcPr>
          <w:p w14:paraId="4F6D4EF0">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68A449ED">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6AA25EB7">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市公安分局</w:t>
            </w:r>
          </w:p>
          <w:p w14:paraId="7E9412B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p w14:paraId="2C6371EB">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区城投集团</w:t>
            </w:r>
          </w:p>
          <w:p w14:paraId="1F423CF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区城建集团</w:t>
            </w:r>
          </w:p>
          <w:p w14:paraId="4EB18736">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1"/>
                <w:w w:val="87"/>
                <w:kern w:val="0"/>
                <w:fitText w:val="1470" w:id="1382839986"/>
                <w:lang w:eastAsia="zh-CN"/>
              </w:rPr>
              <w:t>现代物流园管委</w:t>
            </w:r>
            <w:r>
              <w:rPr>
                <w:rFonts w:ascii="Times New Roman" w:hAnsi="Times New Roman" w:cs="Times New Roman" w:eastAsiaTheme="minorEastAsia"/>
                <w:color w:val="000000" w:themeColor="text1"/>
                <w:spacing w:val="6"/>
                <w:w w:val="87"/>
                <w:kern w:val="0"/>
                <w:fitText w:val="1470" w:id="1382839986"/>
                <w:lang w:eastAsia="zh-CN"/>
              </w:rPr>
              <w:t>会</w:t>
            </w:r>
          </w:p>
        </w:tc>
        <w:tc>
          <w:tcPr>
            <w:tcW w:w="1359" w:type="dxa"/>
            <w:vAlign w:val="center"/>
          </w:tcPr>
          <w:p w14:paraId="7337D016">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4A5FA9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158" w:hRule="atLeast"/>
        </w:trPr>
        <w:tc>
          <w:tcPr>
            <w:tcW w:w="390" w:type="dxa"/>
            <w:vMerge w:val="restart"/>
            <w:tcBorders>
              <w:bottom w:val="nil"/>
            </w:tcBorders>
            <w:vAlign w:val="center"/>
          </w:tcPr>
          <w:p w14:paraId="532AEA6F">
            <w:pPr>
              <w:spacing w:line="250" w:lineRule="exact"/>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11</w:t>
            </w:r>
          </w:p>
        </w:tc>
        <w:tc>
          <w:tcPr>
            <w:tcW w:w="885" w:type="dxa"/>
            <w:vMerge w:val="restart"/>
            <w:vAlign w:val="center"/>
          </w:tcPr>
          <w:p w14:paraId="6E8C646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散煤治理工程</w:t>
            </w:r>
          </w:p>
        </w:tc>
        <w:tc>
          <w:tcPr>
            <w:tcW w:w="1432" w:type="dxa"/>
            <w:vMerge w:val="restart"/>
            <w:tcBorders>
              <w:bottom w:val="nil"/>
            </w:tcBorders>
            <w:vAlign w:val="center"/>
          </w:tcPr>
          <w:p w14:paraId="57591402">
            <w:pPr>
              <w:pStyle w:val="11"/>
              <w:widowControl w:val="0"/>
              <w:kinsoku/>
              <w:autoSpaceDE/>
              <w:autoSpaceDN/>
              <w:spacing w:line="25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巩固清洁取暖成果</w:t>
            </w:r>
          </w:p>
        </w:tc>
        <w:tc>
          <w:tcPr>
            <w:tcW w:w="2542" w:type="dxa"/>
            <w:vMerge w:val="restart"/>
            <w:vAlign w:val="center"/>
          </w:tcPr>
          <w:p w14:paraId="5A3F08AA">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持续落实散煤治理财政资金长效运行补贴制度，适时对全区农村地区运行补助户进行动态调整，确保“煤改洁”用户稳定清洁取暖，进一步实现散煤动态清零。</w:t>
            </w:r>
          </w:p>
        </w:tc>
        <w:tc>
          <w:tcPr>
            <w:tcW w:w="3788" w:type="dxa"/>
            <w:vAlign w:val="center"/>
          </w:tcPr>
          <w:p w14:paraId="2D002334">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以协同治理为重点，因地制宜、科学有序推广光伏+热泵取暖、太阳能等多能互补为支撑的清洁用能保障体系，不断提高农村地区清洁能源综合利用质效。</w:t>
            </w:r>
          </w:p>
        </w:tc>
        <w:tc>
          <w:tcPr>
            <w:tcW w:w="1066" w:type="dxa"/>
            <w:vAlign w:val="center"/>
          </w:tcPr>
          <w:p w14:paraId="6024C13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w:t>
            </w:r>
          </w:p>
          <w:p w14:paraId="09011299">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11月15日</w:t>
            </w:r>
          </w:p>
          <w:p w14:paraId="329AEF56">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前</w:t>
            </w:r>
          </w:p>
        </w:tc>
        <w:tc>
          <w:tcPr>
            <w:tcW w:w="1484" w:type="dxa"/>
            <w:vMerge w:val="restart"/>
            <w:tcBorders>
              <w:bottom w:val="nil"/>
            </w:tcBorders>
            <w:vAlign w:val="center"/>
          </w:tcPr>
          <w:p w14:paraId="7411F9EE">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tc>
        <w:tc>
          <w:tcPr>
            <w:tcW w:w="1596" w:type="dxa"/>
            <w:vMerge w:val="restart"/>
            <w:tcBorders>
              <w:bottom w:val="nil"/>
            </w:tcBorders>
            <w:vAlign w:val="center"/>
          </w:tcPr>
          <w:p w14:paraId="05A39DE2">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区财政局</w:t>
            </w:r>
          </w:p>
          <w:p w14:paraId="1D0BDBA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3ED6190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p w14:paraId="0F36E7A9">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区农业农村局</w:t>
            </w:r>
          </w:p>
          <w:p w14:paraId="031CED96">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tc>
        <w:tc>
          <w:tcPr>
            <w:tcW w:w="1359" w:type="dxa"/>
            <w:vMerge w:val="restart"/>
            <w:tcBorders>
              <w:bottom w:val="nil"/>
            </w:tcBorders>
            <w:vAlign w:val="center"/>
          </w:tcPr>
          <w:p w14:paraId="54B06562">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4EB668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260" w:hRule="atLeast"/>
        </w:trPr>
        <w:tc>
          <w:tcPr>
            <w:tcW w:w="390" w:type="dxa"/>
            <w:vMerge w:val="continue"/>
            <w:tcBorders>
              <w:top w:val="nil"/>
              <w:bottom w:val="nil"/>
            </w:tcBorders>
            <w:vAlign w:val="center"/>
          </w:tcPr>
          <w:p w14:paraId="6C0C0EB4">
            <w:pPr>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3D0DB6E9">
            <w:pPr>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bottom w:val="nil"/>
            </w:tcBorders>
            <w:vAlign w:val="center"/>
          </w:tcPr>
          <w:p w14:paraId="13BACF73">
            <w:pPr>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p>
        </w:tc>
        <w:tc>
          <w:tcPr>
            <w:tcW w:w="2542" w:type="dxa"/>
            <w:vMerge w:val="continue"/>
            <w:vAlign w:val="center"/>
          </w:tcPr>
          <w:p w14:paraId="133182A6">
            <w:pPr>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2AAA4C7B">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按照“补量不补钱”的原则，按照煤改洁补贴资金发放程序，督导相关片区及时向煤改洁用户兑付补贴资金，提升资金使用效率。</w:t>
            </w:r>
          </w:p>
        </w:tc>
        <w:tc>
          <w:tcPr>
            <w:tcW w:w="1066" w:type="dxa"/>
            <w:vAlign w:val="center"/>
          </w:tcPr>
          <w:p w14:paraId="2DD045ED">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w:t>
            </w:r>
          </w:p>
          <w:p w14:paraId="754B313D">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11月15日</w:t>
            </w:r>
          </w:p>
          <w:p w14:paraId="71847ED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前</w:t>
            </w:r>
          </w:p>
        </w:tc>
        <w:tc>
          <w:tcPr>
            <w:tcW w:w="1484" w:type="dxa"/>
            <w:vMerge w:val="continue"/>
            <w:tcBorders>
              <w:top w:val="nil"/>
              <w:bottom w:val="nil"/>
            </w:tcBorders>
            <w:vAlign w:val="center"/>
          </w:tcPr>
          <w:p w14:paraId="2809453E">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111F1D6A">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5188D468">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r>
      <w:tr w14:paraId="0A7900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23AC6E74">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0CF3FEC5">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bottom w:val="nil"/>
            </w:tcBorders>
            <w:vAlign w:val="center"/>
          </w:tcPr>
          <w:p w14:paraId="0A21AC4D">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26D07426">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3788" w:type="dxa"/>
            <w:vAlign w:val="center"/>
          </w:tcPr>
          <w:p w14:paraId="3E94CBF1">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对街办、片区散煤治理工作开展督导检查。</w:t>
            </w:r>
          </w:p>
        </w:tc>
        <w:tc>
          <w:tcPr>
            <w:tcW w:w="1066" w:type="dxa"/>
            <w:vAlign w:val="center"/>
          </w:tcPr>
          <w:p w14:paraId="45CDE1C6">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54277D21">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5B08DA31">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359" w:type="dxa"/>
            <w:tcBorders>
              <w:top w:val="nil"/>
            </w:tcBorders>
            <w:vAlign w:val="center"/>
          </w:tcPr>
          <w:p w14:paraId="4BD850E7">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r>
      <w:tr w14:paraId="71B4A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Align w:val="center"/>
          </w:tcPr>
          <w:p w14:paraId="258F89FF">
            <w:pPr>
              <w:spacing w:line="250" w:lineRule="exact"/>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12</w:t>
            </w:r>
          </w:p>
        </w:tc>
        <w:tc>
          <w:tcPr>
            <w:tcW w:w="885" w:type="dxa"/>
            <w:vMerge w:val="continue"/>
            <w:tcBorders>
              <w:bottom w:val="single" w:color="000000" w:sz="4" w:space="0"/>
            </w:tcBorders>
            <w:vAlign w:val="center"/>
          </w:tcPr>
          <w:p w14:paraId="735629FE">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5AF75DD5">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2542" w:type="dxa"/>
            <w:vAlign w:val="center"/>
          </w:tcPr>
          <w:p w14:paraId="30BFE89D">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全面提升建筑能效水平，加快既有农房节能改造。</w:t>
            </w:r>
          </w:p>
        </w:tc>
        <w:tc>
          <w:tcPr>
            <w:tcW w:w="3788" w:type="dxa"/>
            <w:vAlign w:val="center"/>
          </w:tcPr>
          <w:p w14:paraId="40A3137B">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在协同治理区加大宣传力度，鼓励农户自主实施既有建筑节能改造，涉及危房改造、抗震改造同步开展既有农房节能改造。</w:t>
            </w:r>
          </w:p>
        </w:tc>
        <w:tc>
          <w:tcPr>
            <w:tcW w:w="1066" w:type="dxa"/>
            <w:vAlign w:val="center"/>
          </w:tcPr>
          <w:p w14:paraId="1F235F90">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w:t>
            </w:r>
          </w:p>
          <w:p w14:paraId="02145DC7">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11月15日</w:t>
            </w:r>
          </w:p>
          <w:p w14:paraId="35CA1416">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前</w:t>
            </w:r>
          </w:p>
        </w:tc>
        <w:tc>
          <w:tcPr>
            <w:tcW w:w="1484" w:type="dxa"/>
            <w:vAlign w:val="center"/>
          </w:tcPr>
          <w:p w14:paraId="4D414C76">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tc>
        <w:tc>
          <w:tcPr>
            <w:tcW w:w="1596" w:type="dxa"/>
            <w:vAlign w:val="center"/>
          </w:tcPr>
          <w:p w14:paraId="6A54C0B5">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tc>
        <w:tc>
          <w:tcPr>
            <w:tcW w:w="1359" w:type="dxa"/>
            <w:vAlign w:val="center"/>
          </w:tcPr>
          <w:p w14:paraId="015ECD4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29A03A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995" w:hRule="atLeast"/>
        </w:trPr>
        <w:tc>
          <w:tcPr>
            <w:tcW w:w="390" w:type="dxa"/>
            <w:vMerge w:val="restart"/>
            <w:tcBorders>
              <w:bottom w:val="nil"/>
            </w:tcBorders>
            <w:vAlign w:val="center"/>
          </w:tcPr>
          <w:p w14:paraId="044F74EA">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13</w:t>
            </w:r>
          </w:p>
        </w:tc>
        <w:tc>
          <w:tcPr>
            <w:tcW w:w="885" w:type="dxa"/>
            <w:vMerge w:val="restart"/>
            <w:tcBorders>
              <w:top w:val="single" w:color="000000" w:sz="4" w:space="0"/>
            </w:tcBorders>
            <w:vAlign w:val="center"/>
          </w:tcPr>
          <w:p w14:paraId="46565324">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散煤治理工程</w:t>
            </w:r>
          </w:p>
        </w:tc>
        <w:tc>
          <w:tcPr>
            <w:tcW w:w="1432" w:type="dxa"/>
            <w:vMerge w:val="restart"/>
            <w:tcBorders>
              <w:bottom w:val="nil"/>
            </w:tcBorders>
            <w:vAlign w:val="center"/>
          </w:tcPr>
          <w:p w14:paraId="28822B55">
            <w:pPr>
              <w:pStyle w:val="11"/>
              <w:widowControl w:val="0"/>
              <w:kinsoku/>
              <w:autoSpaceDE/>
              <w:autoSpaceDN/>
              <w:spacing w:line="29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持续加强煤质监管</w:t>
            </w:r>
          </w:p>
        </w:tc>
        <w:tc>
          <w:tcPr>
            <w:tcW w:w="2542" w:type="dxa"/>
            <w:vMerge w:val="restart"/>
            <w:tcBorders>
              <w:bottom w:val="nil"/>
            </w:tcBorders>
            <w:vAlign w:val="center"/>
          </w:tcPr>
          <w:p w14:paraId="41DE0762">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严格散煤加工、储运、销售、使用环节监管，取消禁燃区内散煤销售网点，禁止销售、使用原煤等高污染燃料。</w:t>
            </w:r>
          </w:p>
        </w:tc>
        <w:tc>
          <w:tcPr>
            <w:tcW w:w="3788" w:type="dxa"/>
            <w:vAlign w:val="center"/>
          </w:tcPr>
          <w:p w14:paraId="59E23EBD">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建立健全散煤监管联动协查机制，加强对以直送、网络等销售方式流动销售散煤行为的监督检查。</w:t>
            </w:r>
          </w:p>
        </w:tc>
        <w:tc>
          <w:tcPr>
            <w:tcW w:w="1066" w:type="dxa"/>
            <w:vAlign w:val="center"/>
          </w:tcPr>
          <w:p w14:paraId="11E3115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79885EEE">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tc>
        <w:tc>
          <w:tcPr>
            <w:tcW w:w="1596" w:type="dxa"/>
            <w:vMerge w:val="restart"/>
            <w:tcBorders>
              <w:bottom w:val="nil"/>
            </w:tcBorders>
            <w:vAlign w:val="center"/>
          </w:tcPr>
          <w:p w14:paraId="3BA1B47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47A2DF5E">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p w14:paraId="0876DDCD">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5271DB4D">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6C01C471">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53A57A7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区民政局</w:t>
            </w:r>
          </w:p>
          <w:p w14:paraId="472FE9AB">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p w14:paraId="1AFC5EAC">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区农业农村局</w:t>
            </w:r>
          </w:p>
        </w:tc>
        <w:tc>
          <w:tcPr>
            <w:tcW w:w="1359" w:type="dxa"/>
            <w:vMerge w:val="restart"/>
            <w:tcBorders>
              <w:bottom w:val="nil"/>
            </w:tcBorders>
            <w:vAlign w:val="center"/>
          </w:tcPr>
          <w:p w14:paraId="5737016E">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01B4F2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0BEA5E6D">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105C166D">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tcBorders>
            <w:vAlign w:val="center"/>
          </w:tcPr>
          <w:p w14:paraId="0672EFFD">
            <w:pPr>
              <w:widowControl w:val="0"/>
              <w:kinsoku/>
              <w:autoSpaceDE/>
              <w:autoSpaceDN/>
              <w:spacing w:line="29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tcBorders>
            <w:vAlign w:val="center"/>
          </w:tcPr>
          <w:p w14:paraId="25BEC4DF">
            <w:pPr>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3BD8FC9A">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采暖季期间开展煤质专项检查，对已确定的清洁煤供应网点每月开展煤质抽检。对抽检发现经营不合格散煤行为的，依法处罚。</w:t>
            </w:r>
          </w:p>
        </w:tc>
        <w:tc>
          <w:tcPr>
            <w:tcW w:w="1066" w:type="dxa"/>
            <w:vAlign w:val="center"/>
          </w:tcPr>
          <w:p w14:paraId="011A22C9">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采暖季</w:t>
            </w:r>
          </w:p>
        </w:tc>
        <w:tc>
          <w:tcPr>
            <w:tcW w:w="1484" w:type="dxa"/>
            <w:vMerge w:val="continue"/>
            <w:tcBorders>
              <w:top w:val="nil"/>
            </w:tcBorders>
            <w:vAlign w:val="center"/>
          </w:tcPr>
          <w:p w14:paraId="2EC87A3A">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01586904">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2B9F7F2D">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r>
      <w:tr w14:paraId="4C3C99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264" w:hRule="atLeast"/>
        </w:trPr>
        <w:tc>
          <w:tcPr>
            <w:tcW w:w="390" w:type="dxa"/>
            <w:vMerge w:val="restart"/>
            <w:tcBorders>
              <w:bottom w:val="nil"/>
            </w:tcBorders>
            <w:vAlign w:val="center"/>
          </w:tcPr>
          <w:p w14:paraId="36DBE5E4">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14</w:t>
            </w:r>
          </w:p>
        </w:tc>
        <w:tc>
          <w:tcPr>
            <w:tcW w:w="885" w:type="dxa"/>
            <w:vMerge w:val="continue"/>
            <w:vAlign w:val="center"/>
          </w:tcPr>
          <w:p w14:paraId="4158EF6B">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restart"/>
            <w:tcBorders>
              <w:bottom w:val="nil"/>
            </w:tcBorders>
            <w:vAlign w:val="center"/>
          </w:tcPr>
          <w:p w14:paraId="4E9720FB">
            <w:pPr>
              <w:pStyle w:val="11"/>
              <w:widowControl w:val="0"/>
              <w:kinsoku/>
              <w:autoSpaceDE/>
              <w:autoSpaceDN/>
              <w:spacing w:line="29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全面推动秸秆综合利用</w:t>
            </w:r>
          </w:p>
        </w:tc>
        <w:tc>
          <w:tcPr>
            <w:tcW w:w="2542" w:type="dxa"/>
            <w:vMerge w:val="restart"/>
            <w:tcBorders>
              <w:bottom w:val="nil"/>
            </w:tcBorders>
            <w:vAlign w:val="center"/>
          </w:tcPr>
          <w:p w14:paraId="4AA367E9">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面开展秸秆机械化还田利用，主要粮食作物实施机械化耕种收覆盖率稳定在89%以上，小麦秸秆留茬高度≤18cm，玉米秸秆留茬高度≤10cm，指导各涉农街办、园区每2～3年秋冬季1次，加快秸秆腐解；推进秸秆离田利用，支持协同治理区实施秸秆饲料化、基料化、肥料化利用项目6个，提高市场主体积极性。其他农业废弃物纳入农村生活垃圾处理体系焚烧处置。</w:t>
            </w:r>
          </w:p>
        </w:tc>
        <w:tc>
          <w:tcPr>
            <w:tcW w:w="3788" w:type="dxa"/>
            <w:vAlign w:val="center"/>
          </w:tcPr>
          <w:p w14:paraId="7909B6E4">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推进秸秆离田利用，支持协同治理区县实施秸秆饲料化、基料化、肥料化利用项目，提高市场主体积极性。</w:t>
            </w:r>
          </w:p>
        </w:tc>
        <w:tc>
          <w:tcPr>
            <w:tcW w:w="1066" w:type="dxa"/>
            <w:vMerge w:val="restart"/>
            <w:vAlign w:val="center"/>
          </w:tcPr>
          <w:p w14:paraId="397CB789">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vAlign w:val="center"/>
          </w:tcPr>
          <w:p w14:paraId="6E598E2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区农业农村局</w:t>
            </w:r>
          </w:p>
        </w:tc>
        <w:tc>
          <w:tcPr>
            <w:tcW w:w="1596" w:type="dxa"/>
            <w:vMerge w:val="restart"/>
            <w:tcBorders>
              <w:bottom w:val="nil"/>
            </w:tcBorders>
            <w:vAlign w:val="center"/>
          </w:tcPr>
          <w:p w14:paraId="4B4712F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tc>
        <w:tc>
          <w:tcPr>
            <w:tcW w:w="1359" w:type="dxa"/>
            <w:vMerge w:val="restart"/>
            <w:tcBorders>
              <w:bottom w:val="nil"/>
            </w:tcBorders>
            <w:vAlign w:val="center"/>
          </w:tcPr>
          <w:p w14:paraId="02190D2D">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1422E7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697" w:hRule="atLeast"/>
        </w:trPr>
        <w:tc>
          <w:tcPr>
            <w:tcW w:w="390" w:type="dxa"/>
            <w:vMerge w:val="continue"/>
            <w:tcBorders>
              <w:top w:val="nil"/>
              <w:bottom w:val="nil"/>
            </w:tcBorders>
            <w:vAlign w:val="center"/>
          </w:tcPr>
          <w:p w14:paraId="62413EB9">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53D481C9">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bottom w:val="nil"/>
            </w:tcBorders>
            <w:vAlign w:val="center"/>
          </w:tcPr>
          <w:p w14:paraId="1F8EA78A">
            <w:pPr>
              <w:widowControl w:val="0"/>
              <w:kinsoku/>
              <w:autoSpaceDE/>
              <w:autoSpaceDN/>
              <w:spacing w:line="29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bottom w:val="nil"/>
            </w:tcBorders>
            <w:vAlign w:val="center"/>
          </w:tcPr>
          <w:p w14:paraId="6AC8D5FD">
            <w:pPr>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7BCEDAC6">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其他农业废弃物纳入农村生活垃圾处理体系焚烧处置。</w:t>
            </w:r>
          </w:p>
        </w:tc>
        <w:tc>
          <w:tcPr>
            <w:tcW w:w="1066" w:type="dxa"/>
            <w:vMerge w:val="continue"/>
            <w:vAlign w:val="center"/>
          </w:tcPr>
          <w:p w14:paraId="5F451A85">
            <w:pPr>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p>
        </w:tc>
        <w:tc>
          <w:tcPr>
            <w:tcW w:w="1484" w:type="dxa"/>
            <w:vMerge w:val="continue"/>
            <w:vAlign w:val="center"/>
          </w:tcPr>
          <w:p w14:paraId="384261AC">
            <w:pPr>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p>
        </w:tc>
        <w:tc>
          <w:tcPr>
            <w:tcW w:w="1596" w:type="dxa"/>
            <w:vMerge w:val="continue"/>
            <w:tcBorders>
              <w:top w:val="nil"/>
            </w:tcBorders>
            <w:vAlign w:val="center"/>
          </w:tcPr>
          <w:p w14:paraId="02877803">
            <w:pPr>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p>
        </w:tc>
        <w:tc>
          <w:tcPr>
            <w:tcW w:w="1359" w:type="dxa"/>
            <w:vMerge w:val="continue"/>
            <w:tcBorders>
              <w:top w:val="nil"/>
            </w:tcBorders>
            <w:vAlign w:val="center"/>
          </w:tcPr>
          <w:p w14:paraId="60482E2C">
            <w:pPr>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p>
        </w:tc>
      </w:tr>
      <w:tr w14:paraId="65E1ED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954" w:hRule="atLeast"/>
        </w:trPr>
        <w:tc>
          <w:tcPr>
            <w:tcW w:w="390" w:type="dxa"/>
            <w:vMerge w:val="continue"/>
            <w:tcBorders>
              <w:top w:val="nil"/>
              <w:bottom w:val="single" w:color="auto" w:sz="4" w:space="0"/>
            </w:tcBorders>
            <w:vAlign w:val="center"/>
          </w:tcPr>
          <w:p w14:paraId="1451A535">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tcBorders>
              <w:bottom w:val="single" w:color="auto" w:sz="4" w:space="0"/>
            </w:tcBorders>
            <w:vAlign w:val="center"/>
          </w:tcPr>
          <w:p w14:paraId="1015DC4B">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bottom w:val="single" w:color="auto" w:sz="4" w:space="0"/>
            </w:tcBorders>
            <w:vAlign w:val="center"/>
          </w:tcPr>
          <w:p w14:paraId="4A729AF0">
            <w:pPr>
              <w:widowControl w:val="0"/>
              <w:kinsoku/>
              <w:autoSpaceDE/>
              <w:autoSpaceDN/>
              <w:spacing w:line="29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bottom w:val="single" w:color="auto" w:sz="4" w:space="0"/>
            </w:tcBorders>
            <w:vAlign w:val="center"/>
          </w:tcPr>
          <w:p w14:paraId="5A6DC79F">
            <w:pPr>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p>
        </w:tc>
        <w:tc>
          <w:tcPr>
            <w:tcW w:w="3788" w:type="dxa"/>
            <w:tcBorders>
              <w:bottom w:val="single" w:color="auto" w:sz="4" w:space="0"/>
            </w:tcBorders>
            <w:vAlign w:val="center"/>
          </w:tcPr>
          <w:p w14:paraId="20834C94">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各涉农街办、园区要结合区域实际加强对田间地头杂草、枯枝落叶等生物质的统一捡拾、收集、储运、处置。</w:t>
            </w:r>
          </w:p>
        </w:tc>
        <w:tc>
          <w:tcPr>
            <w:tcW w:w="1066" w:type="dxa"/>
            <w:tcBorders>
              <w:bottom w:val="single" w:color="auto" w:sz="4" w:space="0"/>
            </w:tcBorders>
            <w:vAlign w:val="center"/>
          </w:tcPr>
          <w:p w14:paraId="4DC1141C">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tcBorders>
              <w:bottom w:val="single" w:color="auto" w:sz="4" w:space="0"/>
            </w:tcBorders>
            <w:vAlign w:val="center"/>
          </w:tcPr>
          <w:p w14:paraId="0FA70451">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596" w:type="dxa"/>
            <w:tcBorders>
              <w:bottom w:val="single" w:color="auto" w:sz="4" w:space="0"/>
            </w:tcBorders>
            <w:vAlign w:val="center"/>
          </w:tcPr>
          <w:p w14:paraId="3AA65359">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tcBorders>
              <w:bottom w:val="single" w:color="auto" w:sz="4" w:space="0"/>
            </w:tcBorders>
            <w:vAlign w:val="center"/>
          </w:tcPr>
          <w:p w14:paraId="160A63A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1"/>
                <w:w w:val="85"/>
                <w:kern w:val="0"/>
                <w:fitText w:val="1260" w:id="1062106263"/>
                <w:lang w:eastAsia="zh-CN"/>
              </w:rPr>
              <w:t>各涉农相关部</w:t>
            </w:r>
            <w:r>
              <w:rPr>
                <w:rFonts w:ascii="Times New Roman" w:hAnsi="Times New Roman" w:cs="Times New Roman" w:eastAsiaTheme="minorEastAsia"/>
                <w:color w:val="000000" w:themeColor="text1"/>
                <w:spacing w:val="14"/>
                <w:w w:val="85"/>
                <w:kern w:val="0"/>
                <w:fitText w:val="1260" w:id="1062106263"/>
                <w:lang w:eastAsia="zh-CN"/>
              </w:rPr>
              <w:t>门</w:t>
            </w:r>
          </w:p>
          <w:p w14:paraId="11943A37">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相关街道办事处园区管委会</w:t>
            </w:r>
          </w:p>
        </w:tc>
      </w:tr>
      <w:tr w14:paraId="0E6C83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437" w:hRule="atLeast"/>
        </w:trPr>
        <w:tc>
          <w:tcPr>
            <w:tcW w:w="390" w:type="dxa"/>
            <w:vMerge w:val="restart"/>
            <w:tcBorders>
              <w:top w:val="single" w:color="auto" w:sz="4" w:space="0"/>
              <w:left w:val="single" w:color="auto" w:sz="4" w:space="0"/>
              <w:bottom w:val="single" w:color="auto" w:sz="4" w:space="0"/>
              <w:right w:val="single" w:color="auto" w:sz="4" w:space="0"/>
            </w:tcBorders>
            <w:vAlign w:val="center"/>
          </w:tcPr>
          <w:p w14:paraId="2BE9C536">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15</w:t>
            </w:r>
          </w:p>
        </w:tc>
        <w:tc>
          <w:tcPr>
            <w:tcW w:w="885" w:type="dxa"/>
            <w:vMerge w:val="restart"/>
            <w:tcBorders>
              <w:top w:val="single" w:color="auto" w:sz="4" w:space="0"/>
              <w:left w:val="single" w:color="auto" w:sz="4" w:space="0"/>
              <w:bottom w:val="single" w:color="auto" w:sz="4" w:space="0"/>
              <w:right w:val="single" w:color="auto" w:sz="4" w:space="0"/>
            </w:tcBorders>
            <w:vAlign w:val="center"/>
          </w:tcPr>
          <w:p w14:paraId="002E2CBA">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集聚提升工程</w:t>
            </w:r>
          </w:p>
        </w:tc>
        <w:tc>
          <w:tcPr>
            <w:tcW w:w="1432" w:type="dxa"/>
            <w:vMerge w:val="restart"/>
            <w:tcBorders>
              <w:top w:val="single" w:color="auto" w:sz="4" w:space="0"/>
              <w:left w:val="single" w:color="auto" w:sz="4" w:space="0"/>
              <w:bottom w:val="single" w:color="auto" w:sz="4" w:space="0"/>
              <w:right w:val="single" w:color="auto" w:sz="4" w:space="0"/>
            </w:tcBorders>
            <w:vAlign w:val="center"/>
          </w:tcPr>
          <w:p w14:paraId="6DA719B4">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开展优质中小企业梯度培育，推动中小企业集聚发展、高质量发展</w:t>
            </w:r>
          </w:p>
        </w:tc>
        <w:tc>
          <w:tcPr>
            <w:tcW w:w="2542" w:type="dxa"/>
            <w:vMerge w:val="restart"/>
            <w:tcBorders>
              <w:top w:val="single" w:color="auto" w:sz="4" w:space="0"/>
              <w:left w:val="single" w:color="auto" w:sz="4" w:space="0"/>
              <w:bottom w:val="single" w:color="auto" w:sz="4" w:space="0"/>
              <w:right w:val="single" w:color="auto" w:sz="4" w:space="0"/>
            </w:tcBorders>
            <w:vAlign w:val="center"/>
          </w:tcPr>
          <w:p w14:paraId="298662DE">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推进一批中小型传统制造企业转型升级、技改提升，引导中小企业按园区产业定位“入园进区”，打造创新型中小企业、“专精特新”中小企业集聚化集群化发展。</w:t>
            </w:r>
          </w:p>
        </w:tc>
        <w:tc>
          <w:tcPr>
            <w:tcW w:w="3788" w:type="dxa"/>
            <w:tcBorders>
              <w:top w:val="single" w:color="auto" w:sz="4" w:space="0"/>
              <w:left w:val="single" w:color="auto" w:sz="4" w:space="0"/>
              <w:bottom w:val="single" w:color="auto" w:sz="4" w:space="0"/>
              <w:right w:val="single" w:color="auto" w:sz="4" w:space="0"/>
            </w:tcBorders>
            <w:vAlign w:val="center"/>
          </w:tcPr>
          <w:p w14:paraId="38FB8A73">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全年培育省级以上“专精特新”中小企业。</w:t>
            </w:r>
          </w:p>
        </w:tc>
        <w:tc>
          <w:tcPr>
            <w:tcW w:w="1066" w:type="dxa"/>
            <w:tcBorders>
              <w:top w:val="single" w:color="auto" w:sz="4" w:space="0"/>
              <w:left w:val="single" w:color="auto" w:sz="4" w:space="0"/>
              <w:bottom w:val="single" w:color="auto" w:sz="4" w:space="0"/>
              <w:right w:val="single" w:color="auto" w:sz="4" w:space="0"/>
            </w:tcBorders>
            <w:vAlign w:val="center"/>
          </w:tcPr>
          <w:p w14:paraId="280DDD34">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top w:val="single" w:color="auto" w:sz="4" w:space="0"/>
              <w:left w:val="single" w:color="auto" w:sz="4" w:space="0"/>
              <w:bottom w:val="single" w:color="auto" w:sz="4" w:space="0"/>
              <w:right w:val="single" w:color="auto" w:sz="4" w:space="0"/>
            </w:tcBorders>
            <w:vAlign w:val="center"/>
          </w:tcPr>
          <w:p w14:paraId="7943436E">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tc>
        <w:tc>
          <w:tcPr>
            <w:tcW w:w="1596" w:type="dxa"/>
            <w:vMerge w:val="restart"/>
            <w:tcBorders>
              <w:top w:val="single" w:color="auto" w:sz="4" w:space="0"/>
              <w:left w:val="single" w:color="auto" w:sz="4" w:space="0"/>
              <w:bottom w:val="single" w:color="auto" w:sz="4" w:space="0"/>
              <w:right w:val="single" w:color="auto" w:sz="4" w:space="0"/>
            </w:tcBorders>
            <w:vAlign w:val="center"/>
          </w:tcPr>
          <w:p w14:paraId="04F213C0">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692C9CB2">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区科技局</w:t>
            </w:r>
          </w:p>
          <w:p w14:paraId="0B103613">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资源规划分局</w:t>
            </w:r>
          </w:p>
          <w:p w14:paraId="4D7B6F37">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359" w:type="dxa"/>
            <w:vMerge w:val="restart"/>
            <w:tcBorders>
              <w:top w:val="single" w:color="auto" w:sz="4" w:space="0"/>
              <w:left w:val="single" w:color="auto" w:sz="4" w:space="0"/>
              <w:bottom w:val="single" w:color="auto" w:sz="4" w:space="0"/>
              <w:right w:val="single" w:color="auto" w:sz="4" w:space="0"/>
            </w:tcBorders>
            <w:vAlign w:val="center"/>
          </w:tcPr>
          <w:p w14:paraId="3F4AD7C2">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7105A5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561" w:hRule="atLeast"/>
        </w:trPr>
        <w:tc>
          <w:tcPr>
            <w:tcW w:w="390" w:type="dxa"/>
            <w:vMerge w:val="continue"/>
            <w:tcBorders>
              <w:top w:val="single" w:color="auto" w:sz="4" w:space="0"/>
              <w:bottom w:val="single" w:color="auto" w:sz="4" w:space="0"/>
            </w:tcBorders>
            <w:vAlign w:val="center"/>
          </w:tcPr>
          <w:p w14:paraId="6C3FCE0B">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tcBorders>
              <w:top w:val="single" w:color="auto" w:sz="4" w:space="0"/>
              <w:bottom w:val="single" w:color="auto" w:sz="4" w:space="0"/>
            </w:tcBorders>
            <w:vAlign w:val="center"/>
          </w:tcPr>
          <w:p w14:paraId="7F71779D">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single" w:color="auto" w:sz="4" w:space="0"/>
              <w:bottom w:val="single" w:color="auto" w:sz="4" w:space="0"/>
            </w:tcBorders>
            <w:vAlign w:val="center"/>
          </w:tcPr>
          <w:p w14:paraId="3489F695">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single" w:color="auto" w:sz="4" w:space="0"/>
              <w:bottom w:val="single" w:color="auto" w:sz="4" w:space="0"/>
            </w:tcBorders>
            <w:vAlign w:val="center"/>
          </w:tcPr>
          <w:p w14:paraId="795EAC30">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3788" w:type="dxa"/>
            <w:tcBorders>
              <w:top w:val="single" w:color="auto" w:sz="4" w:space="0"/>
            </w:tcBorders>
            <w:vAlign w:val="center"/>
          </w:tcPr>
          <w:p w14:paraId="1EBBBF7E">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开展传统行业技术改造，推动企业高质量发展。开展绿色制造名单创建，培育绿色工厂1个以上。</w:t>
            </w:r>
          </w:p>
        </w:tc>
        <w:tc>
          <w:tcPr>
            <w:tcW w:w="1066" w:type="dxa"/>
            <w:tcBorders>
              <w:top w:val="single" w:color="auto" w:sz="4" w:space="0"/>
            </w:tcBorders>
            <w:vAlign w:val="center"/>
          </w:tcPr>
          <w:p w14:paraId="3988D612">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single" w:color="auto" w:sz="4" w:space="0"/>
              <w:bottom w:val="single" w:color="auto" w:sz="4" w:space="0"/>
            </w:tcBorders>
            <w:vAlign w:val="center"/>
          </w:tcPr>
          <w:p w14:paraId="6100BF51">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596" w:type="dxa"/>
            <w:vMerge w:val="continue"/>
            <w:tcBorders>
              <w:top w:val="single" w:color="auto" w:sz="4" w:space="0"/>
              <w:bottom w:val="single" w:color="auto" w:sz="4" w:space="0"/>
            </w:tcBorders>
            <w:vAlign w:val="center"/>
          </w:tcPr>
          <w:p w14:paraId="3C5B8EDE">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359" w:type="dxa"/>
            <w:vMerge w:val="continue"/>
            <w:tcBorders>
              <w:top w:val="single" w:color="auto" w:sz="4" w:space="0"/>
              <w:bottom w:val="single" w:color="auto" w:sz="4" w:space="0"/>
            </w:tcBorders>
            <w:vAlign w:val="center"/>
          </w:tcPr>
          <w:p w14:paraId="72C6AE08">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r>
      <w:tr w14:paraId="30690F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32B1486F">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16</w:t>
            </w:r>
          </w:p>
        </w:tc>
        <w:tc>
          <w:tcPr>
            <w:tcW w:w="885" w:type="dxa"/>
            <w:vMerge w:val="restart"/>
            <w:vAlign w:val="center"/>
          </w:tcPr>
          <w:p w14:paraId="45F77D73">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车辆优化工程</w:t>
            </w:r>
          </w:p>
        </w:tc>
        <w:tc>
          <w:tcPr>
            <w:tcW w:w="1432" w:type="dxa"/>
            <w:vMerge w:val="restart"/>
            <w:tcBorders>
              <w:bottom w:val="nil"/>
            </w:tcBorders>
            <w:vAlign w:val="center"/>
          </w:tcPr>
          <w:p w14:paraId="14CBE7E1">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持续优化和发挥城市建成区“绿波带”作用</w:t>
            </w:r>
          </w:p>
        </w:tc>
        <w:tc>
          <w:tcPr>
            <w:tcW w:w="2542" w:type="dxa"/>
            <w:vMerge w:val="restart"/>
            <w:tcBorders>
              <w:bottom w:val="nil"/>
            </w:tcBorders>
            <w:vAlign w:val="center"/>
          </w:tcPr>
          <w:p w14:paraId="2FBBD20F">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深化数字交通、智慧交通建设，持续拓展延伸“绿波带”建设范围，进一步做好缓堵保畅工作。</w:t>
            </w:r>
          </w:p>
        </w:tc>
        <w:tc>
          <w:tcPr>
            <w:tcW w:w="3788" w:type="dxa"/>
            <w:shd w:val="clear" w:color="FFFFFF" w:themeColor="background1" w:fill="auto"/>
            <w:vAlign w:val="center"/>
          </w:tcPr>
          <w:p w14:paraId="2DEE86D6">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持续拓展延伸“绿波带”建设范围。</w:t>
            </w:r>
          </w:p>
        </w:tc>
        <w:tc>
          <w:tcPr>
            <w:tcW w:w="1066" w:type="dxa"/>
            <w:vAlign w:val="center"/>
          </w:tcPr>
          <w:p w14:paraId="1B440980">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2D694CD6">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596" w:type="dxa"/>
            <w:vMerge w:val="restart"/>
            <w:tcBorders>
              <w:bottom w:val="nil"/>
            </w:tcBorders>
            <w:vAlign w:val="center"/>
          </w:tcPr>
          <w:p w14:paraId="0CF77A2A">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14C34859">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359" w:type="dxa"/>
            <w:vMerge w:val="restart"/>
            <w:tcBorders>
              <w:bottom w:val="nil"/>
            </w:tcBorders>
            <w:vAlign w:val="center"/>
          </w:tcPr>
          <w:p w14:paraId="6CE1A6EF">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310F12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bottom w:val="nil"/>
            </w:tcBorders>
            <w:vAlign w:val="center"/>
          </w:tcPr>
          <w:p w14:paraId="2CB402FB">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16127BAD">
            <w:pPr>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bottom w:val="nil"/>
            </w:tcBorders>
            <w:vAlign w:val="center"/>
          </w:tcPr>
          <w:p w14:paraId="552488C6">
            <w:pPr>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bottom w:val="nil"/>
            </w:tcBorders>
            <w:vAlign w:val="center"/>
          </w:tcPr>
          <w:p w14:paraId="666487EA">
            <w:pPr>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p>
        </w:tc>
        <w:tc>
          <w:tcPr>
            <w:tcW w:w="3788" w:type="dxa"/>
            <w:shd w:val="clear" w:color="FFFFFF" w:themeColor="background1" w:fill="auto"/>
            <w:vAlign w:val="center"/>
          </w:tcPr>
          <w:p w14:paraId="1B1C9D08">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充分发挥“绿波带”建设作用，持续推进信号灯配时优化，减少重点区域主要路段早晚高峰车辆拥堵。</w:t>
            </w:r>
          </w:p>
        </w:tc>
        <w:tc>
          <w:tcPr>
            <w:tcW w:w="1066" w:type="dxa"/>
            <w:vMerge w:val="restart"/>
            <w:tcBorders>
              <w:bottom w:val="nil"/>
            </w:tcBorders>
            <w:vAlign w:val="center"/>
          </w:tcPr>
          <w:p w14:paraId="53D4892D">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38B7A5B0">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5B4FD071">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3C4C35E1">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r>
      <w:tr w14:paraId="258C13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68CE08B4">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3A646618">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0E1B86DF">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4E9D6E2E">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shd w:val="clear" w:color="FFFFFF" w:themeColor="background1" w:fill="auto"/>
            <w:vAlign w:val="center"/>
          </w:tcPr>
          <w:p w14:paraId="5E2CEFB3">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区住建局在新建、改建道路时同步建设智能信号互联设备（信号灯），在道路交付时同步交付，打好“绿波带”建设基础。</w:t>
            </w:r>
          </w:p>
        </w:tc>
        <w:tc>
          <w:tcPr>
            <w:tcW w:w="1066" w:type="dxa"/>
            <w:vMerge w:val="continue"/>
            <w:tcBorders>
              <w:top w:val="nil"/>
            </w:tcBorders>
            <w:vAlign w:val="center"/>
          </w:tcPr>
          <w:p w14:paraId="14EACBC8">
            <w:pPr>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p>
        </w:tc>
        <w:tc>
          <w:tcPr>
            <w:tcW w:w="1484" w:type="dxa"/>
            <w:vMerge w:val="continue"/>
            <w:tcBorders>
              <w:top w:val="nil"/>
            </w:tcBorders>
            <w:vAlign w:val="center"/>
          </w:tcPr>
          <w:p w14:paraId="282B645A">
            <w:pPr>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p>
        </w:tc>
        <w:tc>
          <w:tcPr>
            <w:tcW w:w="1596" w:type="dxa"/>
            <w:vMerge w:val="continue"/>
            <w:tcBorders>
              <w:top w:val="nil"/>
            </w:tcBorders>
            <w:vAlign w:val="center"/>
          </w:tcPr>
          <w:p w14:paraId="412B39CD">
            <w:pPr>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p>
        </w:tc>
        <w:tc>
          <w:tcPr>
            <w:tcW w:w="1359" w:type="dxa"/>
            <w:vMerge w:val="continue"/>
            <w:tcBorders>
              <w:top w:val="nil"/>
            </w:tcBorders>
            <w:vAlign w:val="center"/>
          </w:tcPr>
          <w:p w14:paraId="5CE45B8D">
            <w:pPr>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p>
        </w:tc>
      </w:tr>
      <w:tr w14:paraId="607BA3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5FDE09A5">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17</w:t>
            </w:r>
          </w:p>
        </w:tc>
        <w:tc>
          <w:tcPr>
            <w:tcW w:w="885" w:type="dxa"/>
            <w:vMerge w:val="continue"/>
            <w:vAlign w:val="center"/>
          </w:tcPr>
          <w:p w14:paraId="63EA91DF">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Merge w:val="restart"/>
            <w:tcBorders>
              <w:bottom w:val="nil"/>
            </w:tcBorders>
            <w:vAlign w:val="center"/>
          </w:tcPr>
          <w:p w14:paraId="15DAD83F">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建设新能源汽车应用示范标杆城市</w:t>
            </w:r>
          </w:p>
        </w:tc>
        <w:tc>
          <w:tcPr>
            <w:tcW w:w="2542" w:type="dxa"/>
            <w:vMerge w:val="restart"/>
            <w:tcBorders>
              <w:bottom w:val="nil"/>
            </w:tcBorders>
            <w:vAlign w:val="center"/>
          </w:tcPr>
          <w:p w14:paraId="1F3367A3">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大力建设充换电基础设施，以公共领域用车为重点推</w:t>
            </w:r>
            <w:r>
              <w:rPr>
                <w:rFonts w:ascii="Times New Roman" w:hAnsi="Times New Roman" w:cs="Times New Roman" w:eastAsiaTheme="minorEastAsia"/>
                <w:color w:val="000000" w:themeColor="text1"/>
                <w:spacing w:val="-6"/>
                <w:u w:val="single"/>
                <w:lang w:eastAsia="zh-CN"/>
              </w:rPr>
              <w:t>进</w:t>
            </w:r>
            <w:r>
              <w:rPr>
                <w:rFonts w:ascii="Times New Roman" w:hAnsi="Times New Roman" w:cs="Times New Roman" w:eastAsiaTheme="minorEastAsia"/>
                <w:color w:val="000000" w:themeColor="text1"/>
                <w:spacing w:val="-6"/>
                <w:lang w:eastAsia="zh-CN"/>
              </w:rPr>
              <w:t>新能源化。</w:t>
            </w:r>
          </w:p>
        </w:tc>
        <w:tc>
          <w:tcPr>
            <w:tcW w:w="3788" w:type="dxa"/>
            <w:shd w:val="clear" w:color="FFFFFF" w:themeColor="background1" w:fill="auto"/>
            <w:vAlign w:val="center"/>
          </w:tcPr>
          <w:p w14:paraId="24B4D046">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大力建设充换电基础设施，全年新增或更新的公交车、出租车（含网约车）、垃圾清运车、轻型环卫车辆中，新能源或清洁能源车辆比例达到100%。</w:t>
            </w:r>
          </w:p>
        </w:tc>
        <w:tc>
          <w:tcPr>
            <w:tcW w:w="1066" w:type="dxa"/>
            <w:vAlign w:val="center"/>
          </w:tcPr>
          <w:p w14:paraId="64FCF496">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5D2C616A">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2BD6D6B3">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tc>
        <w:tc>
          <w:tcPr>
            <w:tcW w:w="1596" w:type="dxa"/>
            <w:vMerge w:val="restart"/>
            <w:tcBorders>
              <w:bottom w:val="nil"/>
            </w:tcBorders>
            <w:vAlign w:val="center"/>
          </w:tcPr>
          <w:p w14:paraId="4771630C">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59EA0556">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区财政局</w:t>
            </w:r>
          </w:p>
          <w:p w14:paraId="188FA892">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p w14:paraId="1EE0D250">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p w14:paraId="115687AC">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3BA2ACE1">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邮政分公司</w:t>
            </w:r>
          </w:p>
          <w:p w14:paraId="4C122FD2">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区城投集团</w:t>
            </w:r>
          </w:p>
          <w:p w14:paraId="7CE5B8DE">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铁路分公司</w:t>
            </w:r>
          </w:p>
        </w:tc>
        <w:tc>
          <w:tcPr>
            <w:tcW w:w="1359" w:type="dxa"/>
            <w:vMerge w:val="restart"/>
            <w:tcBorders>
              <w:bottom w:val="nil"/>
            </w:tcBorders>
            <w:vAlign w:val="center"/>
          </w:tcPr>
          <w:p w14:paraId="22E24211">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74C10E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bottom w:val="nil"/>
            </w:tcBorders>
            <w:vAlign w:val="center"/>
          </w:tcPr>
          <w:p w14:paraId="20392800">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1D153FD3">
            <w:pPr>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bottom w:val="nil"/>
            </w:tcBorders>
            <w:vAlign w:val="center"/>
          </w:tcPr>
          <w:p w14:paraId="467E3C9F">
            <w:pPr>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bottom w:val="nil"/>
            </w:tcBorders>
            <w:vAlign w:val="center"/>
          </w:tcPr>
          <w:p w14:paraId="11AAB752">
            <w:pPr>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625CF63C">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全年新增或更新的物流配送车辆，新能源或清洁能源车辆比例不低于90%。</w:t>
            </w:r>
          </w:p>
        </w:tc>
        <w:tc>
          <w:tcPr>
            <w:tcW w:w="1066" w:type="dxa"/>
            <w:vAlign w:val="center"/>
          </w:tcPr>
          <w:p w14:paraId="398197CA">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7EA0544C">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6E4B9E78">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3EFFBE7F">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r>
      <w:tr w14:paraId="449B17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bottom w:val="nil"/>
            </w:tcBorders>
            <w:vAlign w:val="center"/>
          </w:tcPr>
          <w:p w14:paraId="6B2B18EB">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46C4A341">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bottom w:val="nil"/>
            </w:tcBorders>
            <w:vAlign w:val="center"/>
          </w:tcPr>
          <w:p w14:paraId="584C4C50">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nil"/>
            </w:tcBorders>
            <w:vAlign w:val="center"/>
          </w:tcPr>
          <w:p w14:paraId="3660761B">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vAlign w:val="center"/>
          </w:tcPr>
          <w:p w14:paraId="0C53DA1B">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邮政分公司负责新增或更新的轻型邮政快递，新能源或清洁能源车辆比例达到100%。</w:t>
            </w:r>
          </w:p>
        </w:tc>
        <w:tc>
          <w:tcPr>
            <w:tcW w:w="1066" w:type="dxa"/>
            <w:vAlign w:val="center"/>
          </w:tcPr>
          <w:p w14:paraId="469BCBB3">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0B7CF5EB">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11CB559D">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4EB2B4B6">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r>
      <w:tr w14:paraId="0F232D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bottom w:val="single" w:color="auto" w:sz="4" w:space="0"/>
            </w:tcBorders>
            <w:vAlign w:val="center"/>
          </w:tcPr>
          <w:p w14:paraId="2D050193">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bottom w:val="single" w:color="auto" w:sz="4" w:space="0"/>
            </w:tcBorders>
            <w:vAlign w:val="center"/>
          </w:tcPr>
          <w:p w14:paraId="3C4766FE">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bottom w:val="single" w:color="auto" w:sz="4" w:space="0"/>
            </w:tcBorders>
            <w:vAlign w:val="center"/>
          </w:tcPr>
          <w:p w14:paraId="0E7CC229">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single" w:color="auto" w:sz="4" w:space="0"/>
            </w:tcBorders>
            <w:vAlign w:val="center"/>
          </w:tcPr>
          <w:p w14:paraId="60648C5B">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tcBorders>
              <w:bottom w:val="single" w:color="auto" w:sz="4" w:space="0"/>
            </w:tcBorders>
            <w:vAlign w:val="center"/>
          </w:tcPr>
          <w:p w14:paraId="524F8ACF">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邮政分公司积极推进“零排放”绿色物流货运车队建设，邮政、顺丰、京东、韵达、圆通、申通、中通、极兔等市内物流配送车队，基本实现纯电动化。</w:t>
            </w:r>
          </w:p>
        </w:tc>
        <w:tc>
          <w:tcPr>
            <w:tcW w:w="1066" w:type="dxa"/>
            <w:tcBorders>
              <w:bottom w:val="single" w:color="auto" w:sz="4" w:space="0"/>
            </w:tcBorders>
            <w:vAlign w:val="center"/>
          </w:tcPr>
          <w:p w14:paraId="022A434B">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2025年12月底</w:t>
            </w:r>
          </w:p>
        </w:tc>
        <w:tc>
          <w:tcPr>
            <w:tcW w:w="1484" w:type="dxa"/>
            <w:vMerge w:val="continue"/>
            <w:tcBorders>
              <w:top w:val="nil"/>
              <w:bottom w:val="single" w:color="auto" w:sz="4" w:space="0"/>
            </w:tcBorders>
            <w:vAlign w:val="center"/>
          </w:tcPr>
          <w:p w14:paraId="7C438925">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single" w:color="auto" w:sz="4" w:space="0"/>
            </w:tcBorders>
            <w:vAlign w:val="center"/>
          </w:tcPr>
          <w:p w14:paraId="7452172A">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7D9E6375">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r>
      <w:tr w14:paraId="586106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tcBorders>
              <w:top w:val="single" w:color="auto" w:sz="4" w:space="0"/>
              <w:left w:val="single" w:color="auto" w:sz="4" w:space="0"/>
              <w:bottom w:val="single" w:color="auto" w:sz="4" w:space="0"/>
              <w:right w:val="single" w:color="auto" w:sz="4" w:space="0"/>
            </w:tcBorders>
            <w:vAlign w:val="center"/>
          </w:tcPr>
          <w:p w14:paraId="174E1E51">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18</w:t>
            </w:r>
          </w:p>
        </w:tc>
        <w:tc>
          <w:tcPr>
            <w:tcW w:w="885" w:type="dxa"/>
            <w:vMerge w:val="continue"/>
            <w:tcBorders>
              <w:top w:val="single" w:color="auto" w:sz="4" w:space="0"/>
              <w:left w:val="single" w:color="auto" w:sz="4" w:space="0"/>
              <w:bottom w:val="single" w:color="auto" w:sz="4" w:space="0"/>
              <w:right w:val="single" w:color="auto" w:sz="4" w:space="0"/>
            </w:tcBorders>
            <w:vAlign w:val="center"/>
          </w:tcPr>
          <w:p w14:paraId="596BEC42">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tcBorders>
              <w:top w:val="single" w:color="auto" w:sz="4" w:space="0"/>
              <w:left w:val="single" w:color="auto" w:sz="4" w:space="0"/>
              <w:bottom w:val="single" w:color="auto" w:sz="4" w:space="0"/>
              <w:right w:val="single" w:color="auto" w:sz="4" w:space="0"/>
            </w:tcBorders>
            <w:vAlign w:val="center"/>
          </w:tcPr>
          <w:p w14:paraId="2538C2BD">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持续推进老旧车辆及非道路移动机械淘汰</w:t>
            </w:r>
          </w:p>
        </w:tc>
        <w:tc>
          <w:tcPr>
            <w:tcW w:w="2542" w:type="dxa"/>
            <w:tcBorders>
              <w:top w:val="single" w:color="auto" w:sz="4" w:space="0"/>
              <w:left w:val="single" w:color="auto" w:sz="4" w:space="0"/>
              <w:bottom w:val="single" w:color="auto" w:sz="4" w:space="0"/>
              <w:right w:val="single" w:color="auto" w:sz="4" w:space="0"/>
            </w:tcBorders>
            <w:vAlign w:val="center"/>
          </w:tcPr>
          <w:p w14:paraId="556004A4">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2025年底前，完成市上下达我区国三及以下排放标准柴油货车和国一及以下排放标准非道路移动机械淘汰任务。全区新能源和国六排放标准货车保有量占比不低于50%。</w:t>
            </w:r>
          </w:p>
        </w:tc>
        <w:tc>
          <w:tcPr>
            <w:tcW w:w="3788" w:type="dxa"/>
            <w:tcBorders>
              <w:top w:val="single" w:color="auto" w:sz="4" w:space="0"/>
              <w:left w:val="single" w:color="auto" w:sz="4" w:space="0"/>
              <w:bottom w:val="single" w:color="auto" w:sz="4" w:space="0"/>
              <w:right w:val="single" w:color="auto" w:sz="4" w:space="0"/>
            </w:tcBorders>
            <w:vAlign w:val="center"/>
          </w:tcPr>
          <w:p w14:paraId="2EAF5567">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一季度完成年度任务达20%，二季度完成年度任务达50%，三季度完成年度任务达80%，四季度完成年度任务达100%。</w:t>
            </w:r>
          </w:p>
        </w:tc>
        <w:tc>
          <w:tcPr>
            <w:tcW w:w="1066" w:type="dxa"/>
            <w:tcBorders>
              <w:top w:val="single" w:color="auto" w:sz="4" w:space="0"/>
              <w:left w:val="single" w:color="auto" w:sz="4" w:space="0"/>
              <w:bottom w:val="single" w:color="auto" w:sz="4" w:space="0"/>
              <w:right w:val="single" w:color="auto" w:sz="4" w:space="0"/>
            </w:tcBorders>
            <w:vAlign w:val="center"/>
          </w:tcPr>
          <w:p w14:paraId="475C90FF">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tcBorders>
              <w:top w:val="single" w:color="auto" w:sz="4" w:space="0"/>
              <w:left w:val="single" w:color="auto" w:sz="4" w:space="0"/>
              <w:bottom w:val="single" w:color="auto" w:sz="4" w:space="0"/>
              <w:right w:val="single" w:color="auto" w:sz="4" w:space="0"/>
            </w:tcBorders>
            <w:vAlign w:val="center"/>
          </w:tcPr>
          <w:p w14:paraId="5F98EDF0">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489119CC">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596" w:type="dxa"/>
            <w:tcBorders>
              <w:top w:val="single" w:color="auto" w:sz="4" w:space="0"/>
              <w:left w:val="single" w:color="auto" w:sz="4" w:space="0"/>
              <w:bottom w:val="single" w:color="auto" w:sz="4" w:space="0"/>
              <w:right w:val="single" w:color="auto" w:sz="4" w:space="0"/>
            </w:tcBorders>
            <w:vAlign w:val="center"/>
          </w:tcPr>
          <w:p w14:paraId="15584E19">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64F26D8A">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45396412">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p w14:paraId="73212DF1">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520D18AD">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tc>
        <w:tc>
          <w:tcPr>
            <w:tcW w:w="1359" w:type="dxa"/>
            <w:tcBorders>
              <w:left w:val="single" w:color="auto" w:sz="4" w:space="0"/>
            </w:tcBorders>
            <w:vAlign w:val="center"/>
          </w:tcPr>
          <w:p w14:paraId="2D1BEA96">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0CBD4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90" w:hRule="atLeast"/>
        </w:trPr>
        <w:tc>
          <w:tcPr>
            <w:tcW w:w="390" w:type="dxa"/>
            <w:tcBorders>
              <w:top w:val="single" w:color="auto" w:sz="4" w:space="0"/>
            </w:tcBorders>
            <w:vAlign w:val="center"/>
          </w:tcPr>
          <w:p w14:paraId="62B7816F">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19</w:t>
            </w:r>
          </w:p>
        </w:tc>
        <w:tc>
          <w:tcPr>
            <w:tcW w:w="885" w:type="dxa"/>
            <w:vMerge w:val="restart"/>
            <w:tcBorders>
              <w:top w:val="single" w:color="auto" w:sz="4" w:space="0"/>
            </w:tcBorders>
            <w:vAlign w:val="center"/>
          </w:tcPr>
          <w:p w14:paraId="5E86B98A">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车辆优化工程</w:t>
            </w:r>
          </w:p>
        </w:tc>
        <w:tc>
          <w:tcPr>
            <w:tcW w:w="1432" w:type="dxa"/>
            <w:vMerge w:val="restart"/>
            <w:tcBorders>
              <w:top w:val="single" w:color="auto" w:sz="4" w:space="0"/>
            </w:tcBorders>
            <w:vAlign w:val="center"/>
          </w:tcPr>
          <w:p w14:paraId="1D1B5D46">
            <w:pPr>
              <w:pStyle w:val="11"/>
              <w:widowControl w:val="0"/>
              <w:kinsoku/>
              <w:autoSpaceDE/>
              <w:autoSpaceDN/>
              <w:spacing w:line="25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推广清洁化渣土车</w:t>
            </w:r>
          </w:p>
        </w:tc>
        <w:tc>
          <w:tcPr>
            <w:tcW w:w="2542" w:type="dxa"/>
            <w:tcBorders>
              <w:top w:val="single" w:color="auto" w:sz="4" w:space="0"/>
            </w:tcBorders>
            <w:vAlign w:val="center"/>
          </w:tcPr>
          <w:p w14:paraId="597ED199">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2025年底前，所有在用渣土车完成新能源或国六排放标准替代。</w:t>
            </w:r>
          </w:p>
        </w:tc>
        <w:tc>
          <w:tcPr>
            <w:tcW w:w="3788" w:type="dxa"/>
            <w:tcBorders>
              <w:top w:val="single" w:color="auto" w:sz="4" w:space="0"/>
            </w:tcBorders>
            <w:vAlign w:val="center"/>
          </w:tcPr>
          <w:p w14:paraId="7164A2CD">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一季度完成年度替代任务达20%，二季度完成年度替代任务达40%，三季度完成年度替代任务达70%，四季度完成年度替代任务达100%。</w:t>
            </w:r>
          </w:p>
        </w:tc>
        <w:tc>
          <w:tcPr>
            <w:tcW w:w="1066" w:type="dxa"/>
            <w:tcBorders>
              <w:top w:val="single" w:color="auto" w:sz="4" w:space="0"/>
            </w:tcBorders>
            <w:vAlign w:val="center"/>
          </w:tcPr>
          <w:p w14:paraId="3C753BB1">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tcBorders>
              <w:top w:val="single" w:color="auto" w:sz="4" w:space="0"/>
            </w:tcBorders>
            <w:vAlign w:val="center"/>
          </w:tcPr>
          <w:p w14:paraId="586095DB">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tc>
        <w:tc>
          <w:tcPr>
            <w:tcW w:w="1596" w:type="dxa"/>
            <w:tcBorders>
              <w:top w:val="single" w:color="auto" w:sz="4" w:space="0"/>
            </w:tcBorders>
            <w:vAlign w:val="center"/>
          </w:tcPr>
          <w:p w14:paraId="452C4873">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p w14:paraId="3E73584E">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359" w:type="dxa"/>
            <w:vAlign w:val="center"/>
          </w:tcPr>
          <w:p w14:paraId="761CB54A">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25D3D5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Align w:val="center"/>
          </w:tcPr>
          <w:p w14:paraId="3B378E23">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20</w:t>
            </w:r>
          </w:p>
        </w:tc>
        <w:tc>
          <w:tcPr>
            <w:tcW w:w="885" w:type="dxa"/>
            <w:vMerge w:val="continue"/>
            <w:vAlign w:val="center"/>
          </w:tcPr>
          <w:p w14:paraId="4FBD9E46">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13A5CA2D">
            <w:pPr>
              <w:pStyle w:val="11"/>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2542" w:type="dxa"/>
            <w:vAlign w:val="center"/>
          </w:tcPr>
          <w:p w14:paraId="61DA2523">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2025年底前，所有在用商砼车完成新能源或国六排放标准替代。</w:t>
            </w:r>
          </w:p>
        </w:tc>
        <w:tc>
          <w:tcPr>
            <w:tcW w:w="3788" w:type="dxa"/>
            <w:vAlign w:val="center"/>
          </w:tcPr>
          <w:p w14:paraId="5B6E0902">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一季度完成年度替代任务达20%，二季度完成年度替代任务达40%，三季度完成年度替代任务达70%，四季度完成年度替代任务达100%。</w:t>
            </w:r>
          </w:p>
        </w:tc>
        <w:tc>
          <w:tcPr>
            <w:tcW w:w="1066" w:type="dxa"/>
            <w:vAlign w:val="center"/>
          </w:tcPr>
          <w:p w14:paraId="2A65C0F9">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0AD66483">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tc>
        <w:tc>
          <w:tcPr>
            <w:tcW w:w="1596" w:type="dxa"/>
            <w:vAlign w:val="center"/>
          </w:tcPr>
          <w:p w14:paraId="6D09E6A0">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p w14:paraId="5AE619D8">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359" w:type="dxa"/>
            <w:vAlign w:val="center"/>
          </w:tcPr>
          <w:p w14:paraId="3BE90528">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440EDD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Align w:val="center"/>
          </w:tcPr>
          <w:p w14:paraId="4B588E27">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21</w:t>
            </w:r>
          </w:p>
        </w:tc>
        <w:tc>
          <w:tcPr>
            <w:tcW w:w="885" w:type="dxa"/>
            <w:vMerge w:val="continue"/>
            <w:vAlign w:val="center"/>
          </w:tcPr>
          <w:p w14:paraId="44F7D375">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Align w:val="center"/>
          </w:tcPr>
          <w:p w14:paraId="54947913">
            <w:pPr>
              <w:pStyle w:val="11"/>
              <w:widowControl w:val="0"/>
              <w:kinsoku/>
              <w:autoSpaceDE/>
              <w:autoSpaceDN/>
              <w:spacing w:line="25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推广新能源公务用车</w:t>
            </w:r>
          </w:p>
        </w:tc>
        <w:tc>
          <w:tcPr>
            <w:tcW w:w="2542" w:type="dxa"/>
            <w:vAlign w:val="center"/>
          </w:tcPr>
          <w:p w14:paraId="7C150FF0">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全面推进公务用车新能源化替代。</w:t>
            </w:r>
          </w:p>
        </w:tc>
        <w:tc>
          <w:tcPr>
            <w:tcW w:w="3788" w:type="dxa"/>
            <w:vAlign w:val="center"/>
          </w:tcPr>
          <w:p w14:paraId="4EDABF24">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全年新增或更新的公务用车中，新能源或清洁能源车辆比例不低于80%。</w:t>
            </w:r>
          </w:p>
        </w:tc>
        <w:tc>
          <w:tcPr>
            <w:tcW w:w="1066" w:type="dxa"/>
            <w:vAlign w:val="center"/>
          </w:tcPr>
          <w:p w14:paraId="44A4F4F9">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6B8BA2A0">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区机关事务中心</w:t>
            </w:r>
          </w:p>
        </w:tc>
        <w:tc>
          <w:tcPr>
            <w:tcW w:w="1596" w:type="dxa"/>
            <w:vAlign w:val="center"/>
          </w:tcPr>
          <w:p w14:paraId="6E968DB5">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区财政局</w:t>
            </w:r>
          </w:p>
          <w:p w14:paraId="5010A09D">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359" w:type="dxa"/>
            <w:vAlign w:val="center"/>
          </w:tcPr>
          <w:p w14:paraId="1CD210B3">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区级相关部门各街道办事处各园区管委会各直属（派出）事业单位</w:t>
            </w:r>
          </w:p>
        </w:tc>
      </w:tr>
      <w:tr w14:paraId="741E8E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3127" w:hRule="atLeast"/>
        </w:trPr>
        <w:tc>
          <w:tcPr>
            <w:tcW w:w="390" w:type="dxa"/>
            <w:vAlign w:val="center"/>
          </w:tcPr>
          <w:p w14:paraId="4A92F689">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22</w:t>
            </w:r>
          </w:p>
        </w:tc>
        <w:tc>
          <w:tcPr>
            <w:tcW w:w="885" w:type="dxa"/>
            <w:vMerge w:val="continue"/>
            <w:vAlign w:val="center"/>
          </w:tcPr>
          <w:p w14:paraId="6D5750C5">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Align w:val="center"/>
          </w:tcPr>
          <w:p w14:paraId="79BB2CF8">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强化非道路移动机械排放控制区管控</w:t>
            </w:r>
          </w:p>
        </w:tc>
        <w:tc>
          <w:tcPr>
            <w:tcW w:w="2542" w:type="dxa"/>
            <w:vAlign w:val="center"/>
          </w:tcPr>
          <w:p w14:paraId="3C2AC16F">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三环路（含）以内区域，禁止使用达不到国Ⅲ排放标准或者超过Ⅲ类烟度限值的非道路移动机械;三环路（不含）以外其他区域，禁止使用达不到国Ⅱ排放标准或者超过Ⅲ类烟度限值的非道路移动机械，具备条件的可更换国四及以上排放标准的发动机。</w:t>
            </w:r>
          </w:p>
        </w:tc>
        <w:tc>
          <w:tcPr>
            <w:tcW w:w="3788" w:type="dxa"/>
            <w:vAlign w:val="center"/>
          </w:tcPr>
          <w:p w14:paraId="4EDFDFF2">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每季度组织一次专项执法检查，建立检查问题清单，依法查处。</w:t>
            </w:r>
          </w:p>
        </w:tc>
        <w:tc>
          <w:tcPr>
            <w:tcW w:w="1066" w:type="dxa"/>
            <w:vAlign w:val="center"/>
          </w:tcPr>
          <w:p w14:paraId="0A68A63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14D8A570">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Align w:val="center"/>
          </w:tcPr>
          <w:p w14:paraId="33DBF6D9">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1001919F">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2B23DA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738" w:hRule="atLeast"/>
        </w:trPr>
        <w:tc>
          <w:tcPr>
            <w:tcW w:w="390" w:type="dxa"/>
            <w:vMerge w:val="restart"/>
            <w:tcBorders>
              <w:bottom w:val="nil"/>
            </w:tcBorders>
            <w:vAlign w:val="center"/>
          </w:tcPr>
          <w:p w14:paraId="77BF6570">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23</w:t>
            </w:r>
          </w:p>
        </w:tc>
        <w:tc>
          <w:tcPr>
            <w:tcW w:w="885" w:type="dxa"/>
            <w:vMerge w:val="continue"/>
            <w:vAlign w:val="center"/>
          </w:tcPr>
          <w:p w14:paraId="55212FE1">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restart"/>
            <w:tcBorders>
              <w:bottom w:val="nil"/>
            </w:tcBorders>
            <w:vAlign w:val="center"/>
          </w:tcPr>
          <w:p w14:paraId="0E58E54B">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持续推进重点企业门禁系统建设</w:t>
            </w:r>
          </w:p>
        </w:tc>
        <w:tc>
          <w:tcPr>
            <w:tcW w:w="2542" w:type="dxa"/>
            <w:vMerge w:val="restart"/>
            <w:tcBorders>
              <w:bottom w:val="nil"/>
            </w:tcBorders>
            <w:vAlign w:val="center"/>
          </w:tcPr>
          <w:p w14:paraId="1D8A9A34">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督促指导企业落实重污染天气重点行业绩效分级技术指南要求，2025年底前，日运输车辆10辆次及以上的企业全部安装门禁系统。</w:t>
            </w:r>
          </w:p>
        </w:tc>
        <w:tc>
          <w:tcPr>
            <w:tcW w:w="3788" w:type="dxa"/>
            <w:vAlign w:val="center"/>
          </w:tcPr>
          <w:p w14:paraId="0CF1EFF1">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全面摸排日运输车辆10辆次及以上的企业，建立未安装门禁系统的企业清单。</w:t>
            </w:r>
          </w:p>
        </w:tc>
        <w:tc>
          <w:tcPr>
            <w:tcW w:w="1066" w:type="dxa"/>
            <w:vAlign w:val="center"/>
          </w:tcPr>
          <w:p w14:paraId="572463FE">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2025年3月底</w:t>
            </w:r>
          </w:p>
        </w:tc>
        <w:tc>
          <w:tcPr>
            <w:tcW w:w="1484" w:type="dxa"/>
            <w:vMerge w:val="restart"/>
            <w:tcBorders>
              <w:bottom w:val="nil"/>
            </w:tcBorders>
            <w:vAlign w:val="center"/>
          </w:tcPr>
          <w:p w14:paraId="1CBCBE51">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6B53A2B4">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Merge w:val="restart"/>
            <w:tcBorders>
              <w:bottom w:val="nil"/>
            </w:tcBorders>
            <w:vAlign w:val="center"/>
          </w:tcPr>
          <w:p w14:paraId="6A5CF09D">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4BEBDD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086" w:hRule="atLeast"/>
        </w:trPr>
        <w:tc>
          <w:tcPr>
            <w:tcW w:w="390" w:type="dxa"/>
            <w:vMerge w:val="continue"/>
            <w:tcBorders>
              <w:top w:val="nil"/>
            </w:tcBorders>
            <w:vAlign w:val="center"/>
          </w:tcPr>
          <w:p w14:paraId="5547A849">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tcBorders>
              <w:bottom w:val="single" w:color="auto" w:sz="4" w:space="0"/>
            </w:tcBorders>
            <w:vAlign w:val="center"/>
          </w:tcPr>
          <w:p w14:paraId="64623C06">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tcBorders>
            <w:vAlign w:val="center"/>
          </w:tcPr>
          <w:p w14:paraId="6CF7CA54">
            <w:pPr>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tcBorders>
            <w:vAlign w:val="center"/>
          </w:tcPr>
          <w:p w14:paraId="5806D261">
            <w:pPr>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615AC577">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督导清单内的企业全部安装门禁系统。</w:t>
            </w:r>
          </w:p>
        </w:tc>
        <w:tc>
          <w:tcPr>
            <w:tcW w:w="1066" w:type="dxa"/>
            <w:vAlign w:val="center"/>
          </w:tcPr>
          <w:p w14:paraId="41A46B05">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2025年10月底</w:t>
            </w:r>
          </w:p>
        </w:tc>
        <w:tc>
          <w:tcPr>
            <w:tcW w:w="1484" w:type="dxa"/>
            <w:vMerge w:val="continue"/>
            <w:tcBorders>
              <w:top w:val="nil"/>
            </w:tcBorders>
            <w:vAlign w:val="center"/>
          </w:tcPr>
          <w:p w14:paraId="3AF0BF82">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3E7F634B">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2B14F095">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r>
      <w:tr w14:paraId="0934F7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116" w:hRule="atLeast"/>
        </w:trPr>
        <w:tc>
          <w:tcPr>
            <w:tcW w:w="390" w:type="dxa"/>
            <w:vMerge w:val="restart"/>
            <w:vAlign w:val="center"/>
          </w:tcPr>
          <w:p w14:paraId="4E9E0506">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24</w:t>
            </w:r>
          </w:p>
        </w:tc>
        <w:tc>
          <w:tcPr>
            <w:tcW w:w="885" w:type="dxa"/>
            <w:vMerge w:val="restart"/>
            <w:tcBorders>
              <w:top w:val="single" w:color="auto" w:sz="4" w:space="0"/>
            </w:tcBorders>
            <w:vAlign w:val="center"/>
          </w:tcPr>
          <w:p w14:paraId="0A6775B9">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车辆优化工程</w:t>
            </w:r>
          </w:p>
        </w:tc>
        <w:tc>
          <w:tcPr>
            <w:tcW w:w="1432" w:type="dxa"/>
            <w:vMerge w:val="restart"/>
            <w:vAlign w:val="center"/>
          </w:tcPr>
          <w:p w14:paraId="64E94134">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持续实施过境货车分流综合管控</w:t>
            </w:r>
          </w:p>
        </w:tc>
        <w:tc>
          <w:tcPr>
            <w:tcW w:w="2542" w:type="dxa"/>
            <w:vMerge w:val="restart"/>
            <w:vAlign w:val="center"/>
          </w:tcPr>
          <w:p w14:paraId="46300F0C">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严格落实《西安市人民政府办公厅关于印发西安市过境货车分流综合管控实施方案的通知》要求，引导过境货车向外环高速公路分流。</w:t>
            </w:r>
          </w:p>
        </w:tc>
        <w:tc>
          <w:tcPr>
            <w:tcW w:w="3788" w:type="dxa"/>
            <w:vAlign w:val="center"/>
          </w:tcPr>
          <w:p w14:paraId="25A51DD3">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引导过境货车向外环高速公路分流。</w:t>
            </w:r>
          </w:p>
        </w:tc>
        <w:tc>
          <w:tcPr>
            <w:tcW w:w="1066" w:type="dxa"/>
            <w:vMerge w:val="restart"/>
            <w:vAlign w:val="center"/>
          </w:tcPr>
          <w:p w14:paraId="7AFBD594">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vAlign w:val="center"/>
          </w:tcPr>
          <w:p w14:paraId="17B59228">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596" w:type="dxa"/>
            <w:vAlign w:val="center"/>
          </w:tcPr>
          <w:p w14:paraId="310AB830">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291BD6EB">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359" w:type="dxa"/>
            <w:vAlign w:val="center"/>
          </w:tcPr>
          <w:p w14:paraId="6DC19B42">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3BFC4F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vAlign w:val="center"/>
          </w:tcPr>
          <w:p w14:paraId="0DB9A6D3">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6BA727C8">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vAlign w:val="center"/>
          </w:tcPr>
          <w:p w14:paraId="75504740">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2542" w:type="dxa"/>
            <w:vMerge w:val="continue"/>
            <w:vAlign w:val="center"/>
          </w:tcPr>
          <w:p w14:paraId="65740108">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0BAE2A02">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对货车驾驶员违反通行管理规定的，依法依规查处。</w:t>
            </w:r>
          </w:p>
        </w:tc>
        <w:tc>
          <w:tcPr>
            <w:tcW w:w="1066" w:type="dxa"/>
            <w:vMerge w:val="continue"/>
            <w:vAlign w:val="center"/>
          </w:tcPr>
          <w:p w14:paraId="7E19F177">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84" w:type="dxa"/>
            <w:vMerge w:val="continue"/>
            <w:vAlign w:val="center"/>
          </w:tcPr>
          <w:p w14:paraId="2017A681">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596" w:type="dxa"/>
            <w:vAlign w:val="center"/>
          </w:tcPr>
          <w:p w14:paraId="17FB8B00">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359" w:type="dxa"/>
            <w:vAlign w:val="center"/>
          </w:tcPr>
          <w:p w14:paraId="4458C94B">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29BBE9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vAlign w:val="center"/>
          </w:tcPr>
          <w:p w14:paraId="5EE52D36">
            <w:pPr>
              <w:widowControl w:val="0"/>
              <w:kinsoku/>
              <w:autoSpaceDE/>
              <w:autoSpaceDN/>
              <w:spacing w:line="270" w:lineRule="exact"/>
              <w:jc w:val="center"/>
              <w:textAlignment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07F96D77">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vAlign w:val="center"/>
          </w:tcPr>
          <w:p w14:paraId="4FDD2A0B">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bottom w:val="nil"/>
            </w:tcBorders>
            <w:vAlign w:val="center"/>
          </w:tcPr>
          <w:p w14:paraId="5BF94E73">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75BE79AB">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开展过境货车分流环境效益分析，每季度通报相关情况。</w:t>
            </w:r>
          </w:p>
        </w:tc>
        <w:tc>
          <w:tcPr>
            <w:tcW w:w="1066" w:type="dxa"/>
            <w:vAlign w:val="center"/>
          </w:tcPr>
          <w:p w14:paraId="2B1BA3CE">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5556DC52">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Align w:val="center"/>
          </w:tcPr>
          <w:p w14:paraId="48664591">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p w14:paraId="60D9F914">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359" w:type="dxa"/>
            <w:vAlign w:val="center"/>
          </w:tcPr>
          <w:p w14:paraId="1523461D">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4BAF60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245B5D2B">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25</w:t>
            </w:r>
          </w:p>
        </w:tc>
        <w:tc>
          <w:tcPr>
            <w:tcW w:w="885" w:type="dxa"/>
            <w:vMerge w:val="continue"/>
            <w:vAlign w:val="center"/>
          </w:tcPr>
          <w:p w14:paraId="6745E9C0">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restart"/>
            <w:vAlign w:val="center"/>
          </w:tcPr>
          <w:p w14:paraId="414360D6">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加强在用机动车管理</w:t>
            </w:r>
          </w:p>
        </w:tc>
        <w:tc>
          <w:tcPr>
            <w:tcW w:w="2542" w:type="dxa"/>
            <w:vMerge w:val="restart"/>
            <w:tcBorders>
              <w:bottom w:val="nil"/>
            </w:tcBorders>
            <w:vAlign w:val="center"/>
          </w:tcPr>
          <w:p w14:paraId="512BFF75">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在重点路段、区域对柴油车开展随机路检路查，加大货运、物流车辆污染治理力度，在集中停放地开展监督抽测。强化综合执法监管，实施多部门联合惩戒。</w:t>
            </w:r>
          </w:p>
        </w:tc>
        <w:tc>
          <w:tcPr>
            <w:tcW w:w="3788" w:type="dxa"/>
            <w:vAlign w:val="center"/>
          </w:tcPr>
          <w:p w14:paraId="55C4248D">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我区每月开展联合检查不少于6次，检查机动车数量不少于200辆次。</w:t>
            </w:r>
          </w:p>
        </w:tc>
        <w:tc>
          <w:tcPr>
            <w:tcW w:w="1066" w:type="dxa"/>
            <w:vAlign w:val="center"/>
          </w:tcPr>
          <w:p w14:paraId="0B5B9E29">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6B230E95">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4F5A0C28">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p w14:paraId="38EDD589">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557B5C60">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359" w:type="dxa"/>
            <w:vMerge w:val="restart"/>
            <w:tcBorders>
              <w:bottom w:val="nil"/>
            </w:tcBorders>
            <w:vAlign w:val="center"/>
          </w:tcPr>
          <w:p w14:paraId="060B49C1">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7015CF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225" w:hRule="atLeast"/>
        </w:trPr>
        <w:tc>
          <w:tcPr>
            <w:tcW w:w="390" w:type="dxa"/>
            <w:vMerge w:val="continue"/>
            <w:tcBorders>
              <w:top w:val="nil"/>
              <w:bottom w:val="single" w:color="auto" w:sz="4" w:space="0"/>
            </w:tcBorders>
            <w:vAlign w:val="center"/>
          </w:tcPr>
          <w:p w14:paraId="56F5A473">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3CD01C74">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vAlign w:val="center"/>
          </w:tcPr>
          <w:p w14:paraId="47DE7C21">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bottom w:val="single" w:color="auto" w:sz="4" w:space="0"/>
            </w:tcBorders>
            <w:vAlign w:val="center"/>
          </w:tcPr>
          <w:p w14:paraId="3DC72B39">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3788" w:type="dxa"/>
            <w:tcBorders>
              <w:bottom w:val="single" w:color="auto" w:sz="4" w:space="0"/>
            </w:tcBorders>
            <w:vAlign w:val="center"/>
          </w:tcPr>
          <w:p w14:paraId="7392F735">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每月通报检查情况，督促相关单位做好落实整改。</w:t>
            </w:r>
          </w:p>
        </w:tc>
        <w:tc>
          <w:tcPr>
            <w:tcW w:w="1066" w:type="dxa"/>
            <w:tcBorders>
              <w:bottom w:val="single" w:color="auto" w:sz="4" w:space="0"/>
            </w:tcBorders>
            <w:vAlign w:val="center"/>
          </w:tcPr>
          <w:p w14:paraId="5F1DEF0C">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single" w:color="auto" w:sz="4" w:space="0"/>
            </w:tcBorders>
            <w:vAlign w:val="center"/>
          </w:tcPr>
          <w:p w14:paraId="46FB5452">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single" w:color="auto" w:sz="4" w:space="0"/>
            </w:tcBorders>
            <w:vAlign w:val="center"/>
          </w:tcPr>
          <w:p w14:paraId="0498005B">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single" w:color="auto" w:sz="4" w:space="0"/>
            </w:tcBorders>
            <w:vAlign w:val="center"/>
          </w:tcPr>
          <w:p w14:paraId="2663D5F0">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r>
      <w:tr w14:paraId="31BCAF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top w:val="single" w:color="auto" w:sz="4" w:space="0"/>
              <w:left w:val="single" w:color="auto" w:sz="4" w:space="0"/>
            </w:tcBorders>
            <w:vAlign w:val="center"/>
          </w:tcPr>
          <w:p w14:paraId="675BC8B2">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26</w:t>
            </w:r>
          </w:p>
        </w:tc>
        <w:tc>
          <w:tcPr>
            <w:tcW w:w="885" w:type="dxa"/>
            <w:vMerge w:val="continue"/>
            <w:vAlign w:val="center"/>
          </w:tcPr>
          <w:p w14:paraId="2B27492E">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5AA3F47B">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restart"/>
            <w:tcBorders>
              <w:top w:val="single" w:color="auto" w:sz="4" w:space="0"/>
              <w:right w:val="single" w:color="auto" w:sz="4" w:space="0"/>
            </w:tcBorders>
            <w:vAlign w:val="center"/>
          </w:tcPr>
          <w:p w14:paraId="1C880FDD">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支持柴油货车进行污染治理。全面落实机动车排放检测/维护（I/M）制度。</w:t>
            </w:r>
          </w:p>
        </w:tc>
        <w:tc>
          <w:tcPr>
            <w:tcW w:w="3788" w:type="dxa"/>
            <w:tcBorders>
              <w:top w:val="single" w:color="auto" w:sz="4" w:space="0"/>
              <w:left w:val="single" w:color="auto" w:sz="4" w:space="0"/>
              <w:bottom w:val="single" w:color="auto" w:sz="4" w:space="0"/>
              <w:right w:val="single" w:color="auto" w:sz="4" w:space="0"/>
            </w:tcBorders>
            <w:vAlign w:val="center"/>
          </w:tcPr>
          <w:p w14:paraId="6ADE1043">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生态环境分局严格落实排放检测制度，严把机动车排放检测复检关。</w:t>
            </w:r>
          </w:p>
        </w:tc>
        <w:tc>
          <w:tcPr>
            <w:tcW w:w="1066" w:type="dxa"/>
            <w:tcBorders>
              <w:top w:val="single" w:color="auto" w:sz="4" w:space="0"/>
              <w:left w:val="single" w:color="auto" w:sz="4" w:space="0"/>
              <w:bottom w:val="single" w:color="auto" w:sz="4" w:space="0"/>
              <w:right w:val="single" w:color="auto" w:sz="4" w:space="0"/>
            </w:tcBorders>
            <w:vAlign w:val="center"/>
          </w:tcPr>
          <w:p w14:paraId="0C953C3E">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top w:val="single" w:color="auto" w:sz="4" w:space="0"/>
              <w:left w:val="single" w:color="auto" w:sz="4" w:space="0"/>
              <w:right w:val="single" w:color="auto" w:sz="4" w:space="0"/>
            </w:tcBorders>
            <w:vAlign w:val="center"/>
          </w:tcPr>
          <w:p w14:paraId="247DC9B9">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top w:val="single" w:color="auto" w:sz="4" w:space="0"/>
              <w:left w:val="single" w:color="auto" w:sz="4" w:space="0"/>
              <w:right w:val="single" w:color="auto" w:sz="4" w:space="0"/>
            </w:tcBorders>
            <w:vAlign w:val="center"/>
          </w:tcPr>
          <w:p w14:paraId="4B3A56D0">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1A3DEA04">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tc>
        <w:tc>
          <w:tcPr>
            <w:tcW w:w="1359" w:type="dxa"/>
            <w:vMerge w:val="restart"/>
            <w:tcBorders>
              <w:top w:val="single" w:color="auto" w:sz="4" w:space="0"/>
              <w:left w:val="single" w:color="auto" w:sz="4" w:space="0"/>
              <w:right w:val="single" w:color="auto" w:sz="4" w:space="0"/>
            </w:tcBorders>
            <w:vAlign w:val="center"/>
          </w:tcPr>
          <w:p w14:paraId="09F7D273">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7F9095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2990" w:hRule="atLeast"/>
        </w:trPr>
        <w:tc>
          <w:tcPr>
            <w:tcW w:w="390" w:type="dxa"/>
            <w:vMerge w:val="continue"/>
            <w:tcBorders>
              <w:left w:val="single" w:color="auto" w:sz="4" w:space="0"/>
              <w:bottom w:val="single" w:color="000000" w:sz="4" w:space="0"/>
            </w:tcBorders>
            <w:vAlign w:val="center"/>
          </w:tcPr>
          <w:p w14:paraId="6A792BC6">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tcBorders>
              <w:bottom w:val="single" w:color="000000" w:sz="4" w:space="0"/>
            </w:tcBorders>
            <w:vAlign w:val="center"/>
          </w:tcPr>
          <w:p w14:paraId="5C85847B">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bottom w:val="single" w:color="000000" w:sz="4" w:space="0"/>
            </w:tcBorders>
            <w:vAlign w:val="center"/>
          </w:tcPr>
          <w:p w14:paraId="3DBFD8A7">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bottom w:val="single" w:color="000000" w:sz="4" w:space="0"/>
              <w:right w:val="single" w:color="auto" w:sz="4" w:space="0"/>
            </w:tcBorders>
            <w:vAlign w:val="center"/>
          </w:tcPr>
          <w:p w14:paraId="69701B63">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3788" w:type="dxa"/>
            <w:tcBorders>
              <w:top w:val="single" w:color="auto" w:sz="4" w:space="0"/>
              <w:left w:val="single" w:color="auto" w:sz="4" w:space="0"/>
              <w:bottom w:val="single" w:color="000000" w:sz="4" w:space="0"/>
            </w:tcBorders>
            <w:vAlign w:val="center"/>
          </w:tcPr>
          <w:p w14:paraId="17A69B73">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对机动车排放性能维护（维修）站全面排查，并结合机动车排放检验机构排查等线索抽查其他维修机构。指导企业严格落实相关标准规范要求，按照操作流程如实、规范维修，将维修项目、零部件更换等信息完整准确上传至汽车维修电子健康档案系统。对不具备维修能力、未实际维修、伪造维修项目、拆除机动车污染控制装置等问题依法查处。</w:t>
            </w:r>
          </w:p>
        </w:tc>
        <w:tc>
          <w:tcPr>
            <w:tcW w:w="1066" w:type="dxa"/>
            <w:tcBorders>
              <w:top w:val="single" w:color="auto" w:sz="4" w:space="0"/>
              <w:right w:val="single" w:color="auto" w:sz="4" w:space="0"/>
            </w:tcBorders>
            <w:vAlign w:val="center"/>
          </w:tcPr>
          <w:p w14:paraId="503356B6">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left w:val="single" w:color="auto" w:sz="4" w:space="0"/>
              <w:bottom w:val="single" w:color="000000" w:sz="4" w:space="0"/>
              <w:right w:val="single" w:color="auto" w:sz="4" w:space="0"/>
            </w:tcBorders>
            <w:vAlign w:val="center"/>
          </w:tcPr>
          <w:p w14:paraId="52D18EE0">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596" w:type="dxa"/>
            <w:vMerge w:val="continue"/>
            <w:tcBorders>
              <w:left w:val="single" w:color="auto" w:sz="4" w:space="0"/>
              <w:bottom w:val="single" w:color="000000" w:sz="4" w:space="0"/>
              <w:right w:val="single" w:color="auto" w:sz="4" w:space="0"/>
            </w:tcBorders>
            <w:vAlign w:val="center"/>
          </w:tcPr>
          <w:p w14:paraId="7E61B6BD">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359" w:type="dxa"/>
            <w:vMerge w:val="continue"/>
            <w:tcBorders>
              <w:left w:val="single" w:color="auto" w:sz="4" w:space="0"/>
              <w:bottom w:val="single" w:color="000000" w:sz="4" w:space="0"/>
              <w:right w:val="single" w:color="auto" w:sz="4" w:space="0"/>
            </w:tcBorders>
            <w:vAlign w:val="center"/>
          </w:tcPr>
          <w:p w14:paraId="4C19024C">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r>
      <w:tr w14:paraId="68BE8E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top w:val="nil"/>
              <w:bottom w:val="nil"/>
            </w:tcBorders>
            <w:vAlign w:val="center"/>
          </w:tcPr>
          <w:p w14:paraId="1BF2DB61">
            <w:pPr>
              <w:jc w:val="center"/>
              <w:textAlignment w:val="center"/>
              <w:rPr>
                <w:rFonts w:ascii="Times New Roman" w:hAnsi="Times New Roman" w:cs="Times New Roman" w:eastAsiaTheme="minorEastAsia"/>
                <w:color w:val="000000" w:themeColor="text1"/>
                <w:spacing w:val="-6"/>
              </w:rPr>
            </w:pPr>
          </w:p>
        </w:tc>
        <w:tc>
          <w:tcPr>
            <w:tcW w:w="885" w:type="dxa"/>
            <w:vMerge w:val="restart"/>
            <w:tcBorders>
              <w:top w:val="nil"/>
            </w:tcBorders>
            <w:vAlign w:val="center"/>
          </w:tcPr>
          <w:p w14:paraId="7597F5CD">
            <w:pPr>
              <w:pStyle w:val="11"/>
              <w:widowControl w:val="0"/>
              <w:spacing w:line="270" w:lineRule="exact"/>
              <w:jc w:val="center"/>
              <w:rPr>
                <w:rFonts w:ascii="Times New Roman" w:hAnsi="Times New Roman" w:cs="Times New Roman" w:eastAsiaTheme="minorEastAsia"/>
                <w:color w:val="000000" w:themeColor="text1"/>
                <w:spacing w:val="-6"/>
              </w:rPr>
            </w:pPr>
          </w:p>
        </w:tc>
        <w:tc>
          <w:tcPr>
            <w:tcW w:w="1432" w:type="dxa"/>
            <w:vMerge w:val="restart"/>
            <w:tcBorders>
              <w:top w:val="single" w:color="auto" w:sz="4" w:space="0"/>
            </w:tcBorders>
            <w:vAlign w:val="center"/>
          </w:tcPr>
          <w:p w14:paraId="33A72A7F">
            <w:pPr>
              <w:pStyle w:val="11"/>
              <w:widowControl w:val="0"/>
              <w:spacing w:line="270" w:lineRule="exact"/>
              <w:jc w:val="both"/>
              <w:rPr>
                <w:rFonts w:ascii="Times New Roman" w:hAnsi="Times New Roman" w:cs="Times New Roman" w:eastAsiaTheme="minorEastAsia"/>
                <w:color w:val="000000" w:themeColor="text1"/>
                <w:spacing w:val="-6"/>
              </w:rPr>
            </w:pPr>
          </w:p>
        </w:tc>
        <w:tc>
          <w:tcPr>
            <w:tcW w:w="2542" w:type="dxa"/>
            <w:vMerge w:val="restart"/>
            <w:tcBorders>
              <w:top w:val="single" w:color="auto" w:sz="4" w:space="0"/>
              <w:bottom w:val="nil"/>
            </w:tcBorders>
            <w:vAlign w:val="center"/>
          </w:tcPr>
          <w:p w14:paraId="1112C47C">
            <w:pPr>
              <w:pStyle w:val="11"/>
              <w:widowControl w:val="0"/>
              <w:spacing w:line="270" w:lineRule="exact"/>
              <w:jc w:val="both"/>
              <w:rPr>
                <w:rFonts w:ascii="Times New Roman" w:hAnsi="Times New Roman" w:cs="Times New Roman" w:eastAsiaTheme="minorEastAsia"/>
                <w:color w:val="000000" w:themeColor="text1"/>
                <w:spacing w:val="-6"/>
              </w:rPr>
            </w:pPr>
          </w:p>
        </w:tc>
        <w:tc>
          <w:tcPr>
            <w:tcW w:w="3788" w:type="dxa"/>
            <w:vAlign w:val="center"/>
          </w:tcPr>
          <w:p w14:paraId="27D51A2D">
            <w:pPr>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对机动车检验机构全面检查、围绕出具虚假检验报告、出真不实检验报告、不符合机动车排放检验规范三种情形，重点排查预自放宽检验方法。不检验及未按标准要求检验直接出具检验报告、使用OBD“一键达标”等作弊装置、换车替检、篡改计算机记录结果，故意遮挡视频等问题，并依法查处，情节严重的通报市市场监管局依法取消其检验资质。</w:t>
            </w:r>
          </w:p>
        </w:tc>
        <w:tc>
          <w:tcPr>
            <w:tcW w:w="1066" w:type="dxa"/>
            <w:vAlign w:val="center"/>
          </w:tcPr>
          <w:p w14:paraId="1C2C82C6">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top w:val="single" w:color="auto" w:sz="4" w:space="0"/>
              <w:bottom w:val="nil"/>
            </w:tcBorders>
            <w:vAlign w:val="center"/>
          </w:tcPr>
          <w:p w14:paraId="26BDCA48">
            <w:pPr>
              <w:pStyle w:val="11"/>
              <w:widowControl w:val="0"/>
              <w:spacing w:line="300" w:lineRule="exact"/>
              <w:jc w:val="center"/>
              <w:rPr>
                <w:rFonts w:ascii="Times New Roman" w:hAnsi="Times New Roman" w:cs="Times New Roman" w:eastAsiaTheme="minorEastAsia"/>
                <w:color w:val="000000" w:themeColor="text1"/>
                <w:spacing w:val="-6"/>
              </w:rPr>
            </w:pPr>
          </w:p>
        </w:tc>
        <w:tc>
          <w:tcPr>
            <w:tcW w:w="1596" w:type="dxa"/>
            <w:vMerge w:val="restart"/>
            <w:tcBorders>
              <w:top w:val="single" w:color="auto" w:sz="4" w:space="0"/>
              <w:bottom w:val="nil"/>
            </w:tcBorders>
            <w:vAlign w:val="center"/>
          </w:tcPr>
          <w:p w14:paraId="08A3301D">
            <w:pPr>
              <w:pStyle w:val="11"/>
              <w:widowControl w:val="0"/>
              <w:spacing w:line="300" w:lineRule="exact"/>
              <w:jc w:val="center"/>
              <w:rPr>
                <w:rFonts w:ascii="Times New Roman" w:hAnsi="Times New Roman" w:cs="Times New Roman" w:eastAsiaTheme="minorEastAsia"/>
                <w:color w:val="000000" w:themeColor="text1"/>
                <w:spacing w:val="-6"/>
              </w:rPr>
            </w:pPr>
          </w:p>
        </w:tc>
        <w:tc>
          <w:tcPr>
            <w:tcW w:w="1359" w:type="dxa"/>
            <w:vMerge w:val="restart"/>
            <w:tcBorders>
              <w:top w:val="single" w:color="auto" w:sz="4" w:space="0"/>
            </w:tcBorders>
            <w:vAlign w:val="center"/>
          </w:tcPr>
          <w:p w14:paraId="7DA3BF58">
            <w:pPr>
              <w:pStyle w:val="11"/>
              <w:widowControl w:val="0"/>
              <w:spacing w:line="300" w:lineRule="exact"/>
              <w:jc w:val="center"/>
              <w:rPr>
                <w:rFonts w:ascii="Times New Roman" w:hAnsi="Times New Roman" w:cs="Times New Roman" w:eastAsiaTheme="minorEastAsia"/>
                <w:color w:val="000000" w:themeColor="text1"/>
                <w:spacing w:val="-6"/>
              </w:rPr>
            </w:pPr>
          </w:p>
        </w:tc>
      </w:tr>
      <w:tr w14:paraId="63910E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09B2F6A4">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top w:val="nil"/>
            </w:tcBorders>
            <w:vAlign w:val="center"/>
          </w:tcPr>
          <w:p w14:paraId="67BB483E">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3C1F6638">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56DFAC0D">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3788" w:type="dxa"/>
            <w:vAlign w:val="center"/>
          </w:tcPr>
          <w:p w14:paraId="353C159E">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生态环境分局采取双随机的方式，做到全覆盖检查。我区每季度要抽查检查全覆盖，形成检查清单。</w:t>
            </w:r>
          </w:p>
        </w:tc>
        <w:tc>
          <w:tcPr>
            <w:tcW w:w="1066" w:type="dxa"/>
            <w:vAlign w:val="center"/>
          </w:tcPr>
          <w:p w14:paraId="1F4FD7EF">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32A77990">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0FF77CA4">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359" w:type="dxa"/>
            <w:vMerge w:val="continue"/>
            <w:vAlign w:val="center"/>
          </w:tcPr>
          <w:p w14:paraId="60094806">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r>
      <w:tr w14:paraId="5C7249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2208" w:hRule="atLeast"/>
        </w:trPr>
        <w:tc>
          <w:tcPr>
            <w:tcW w:w="390" w:type="dxa"/>
            <w:vMerge w:val="restart"/>
            <w:vAlign w:val="center"/>
          </w:tcPr>
          <w:p w14:paraId="56DF52EA">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27</w:t>
            </w:r>
          </w:p>
        </w:tc>
        <w:tc>
          <w:tcPr>
            <w:tcW w:w="885" w:type="dxa"/>
            <w:vMerge w:val="restart"/>
            <w:vAlign w:val="center"/>
          </w:tcPr>
          <w:p w14:paraId="656E87AD">
            <w:pPr>
              <w:widowControl w:val="0"/>
              <w:kinsoku/>
              <w:autoSpaceDE/>
              <w:autoSpaceDN/>
              <w:spacing w:line="30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车辆优化工程</w:t>
            </w:r>
          </w:p>
        </w:tc>
        <w:tc>
          <w:tcPr>
            <w:tcW w:w="1432" w:type="dxa"/>
            <w:vMerge w:val="restart"/>
            <w:tcBorders>
              <w:bottom w:val="nil"/>
            </w:tcBorders>
            <w:vAlign w:val="center"/>
          </w:tcPr>
          <w:p w14:paraId="6AF5652F">
            <w:pPr>
              <w:pStyle w:val="11"/>
              <w:widowControl w:val="0"/>
              <w:kinsoku/>
              <w:autoSpaceDE/>
              <w:autoSpaceDN/>
              <w:spacing w:line="30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加强在用机动车管理</w:t>
            </w:r>
          </w:p>
        </w:tc>
        <w:tc>
          <w:tcPr>
            <w:tcW w:w="2542" w:type="dxa"/>
            <w:vMerge w:val="restart"/>
            <w:tcBorders>
              <w:bottom w:val="nil"/>
            </w:tcBorders>
            <w:vAlign w:val="center"/>
          </w:tcPr>
          <w:p w14:paraId="2B00CBBA">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持续推进政府投资类项目、民生保障类项目以及重点区域土石方作业项目使用新能源、清洁能源车辆以及符合“双三标准”的非道路移动机械。</w:t>
            </w:r>
          </w:p>
        </w:tc>
        <w:tc>
          <w:tcPr>
            <w:tcW w:w="3788" w:type="dxa"/>
            <w:vAlign w:val="center"/>
          </w:tcPr>
          <w:p w14:paraId="776EDD5B">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重污染Ⅱ级应急响应期间，保障类项目必须使用新能源、清洁能源车辆及国IV或新能源非道路移动机械。重污染I级应急响应期间，保障类项目必须使用新能源、清洁能源车辆，鼓励使用新能源非道路移动机械。</w:t>
            </w:r>
          </w:p>
        </w:tc>
        <w:tc>
          <w:tcPr>
            <w:tcW w:w="1066" w:type="dxa"/>
            <w:vAlign w:val="center"/>
          </w:tcPr>
          <w:p w14:paraId="46DDAB88">
            <w:pPr>
              <w:pStyle w:val="11"/>
              <w:widowControl w:val="0"/>
              <w:kinsoku/>
              <w:autoSpaceDE/>
              <w:autoSpaceDN/>
              <w:spacing w:line="30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042793CD">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tc>
        <w:tc>
          <w:tcPr>
            <w:tcW w:w="1596" w:type="dxa"/>
            <w:vMerge w:val="restart"/>
            <w:tcBorders>
              <w:bottom w:val="nil"/>
            </w:tcBorders>
            <w:vAlign w:val="center"/>
          </w:tcPr>
          <w:p w14:paraId="2B761360">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471CD6D6">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2CB01464">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p w14:paraId="238AEA48">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p w14:paraId="7CD47976">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359" w:type="dxa"/>
            <w:vMerge w:val="restart"/>
            <w:tcBorders>
              <w:bottom w:val="nil"/>
            </w:tcBorders>
            <w:vAlign w:val="center"/>
          </w:tcPr>
          <w:p w14:paraId="339AC06A">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162F1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242" w:hRule="atLeast"/>
        </w:trPr>
        <w:tc>
          <w:tcPr>
            <w:tcW w:w="390" w:type="dxa"/>
            <w:vMerge w:val="continue"/>
            <w:vAlign w:val="center"/>
          </w:tcPr>
          <w:p w14:paraId="227B68F5">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6666D9AB">
            <w:pPr>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bottom w:val="nil"/>
            </w:tcBorders>
            <w:vAlign w:val="center"/>
          </w:tcPr>
          <w:p w14:paraId="2515BF3C">
            <w:pPr>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bottom w:val="nil"/>
            </w:tcBorders>
            <w:vAlign w:val="center"/>
          </w:tcPr>
          <w:p w14:paraId="19E018E2">
            <w:pPr>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2FE3537C">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重点区域3公里范围内所有土石方作业项目必须使用清洁能源车辆以及符合“双三标准”的非道路移动机械。</w:t>
            </w:r>
          </w:p>
        </w:tc>
        <w:tc>
          <w:tcPr>
            <w:tcW w:w="1066" w:type="dxa"/>
            <w:vMerge w:val="restart"/>
            <w:tcBorders>
              <w:bottom w:val="nil"/>
            </w:tcBorders>
            <w:vAlign w:val="center"/>
          </w:tcPr>
          <w:p w14:paraId="219C8D38">
            <w:pPr>
              <w:pStyle w:val="11"/>
              <w:widowControl w:val="0"/>
              <w:kinsoku/>
              <w:autoSpaceDE/>
              <w:autoSpaceDN/>
              <w:spacing w:line="30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671796A7">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1888D626">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5203FC16">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r>
      <w:tr w14:paraId="07EBCD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887" w:hRule="atLeast"/>
        </w:trPr>
        <w:tc>
          <w:tcPr>
            <w:tcW w:w="390" w:type="dxa"/>
            <w:vMerge w:val="continue"/>
            <w:tcBorders>
              <w:bottom w:val="single" w:color="auto" w:sz="4" w:space="0"/>
            </w:tcBorders>
            <w:vAlign w:val="center"/>
          </w:tcPr>
          <w:p w14:paraId="7527F40A">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bottom w:val="single" w:color="auto" w:sz="4" w:space="0"/>
            </w:tcBorders>
            <w:vAlign w:val="center"/>
          </w:tcPr>
          <w:p w14:paraId="4C4D317F">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bottom w:val="single" w:color="auto" w:sz="4" w:space="0"/>
            </w:tcBorders>
            <w:vAlign w:val="center"/>
          </w:tcPr>
          <w:p w14:paraId="7BE3F707">
            <w:pPr>
              <w:widowControl w:val="0"/>
              <w:kinsoku/>
              <w:autoSpaceDE/>
              <w:autoSpaceDN/>
              <w:spacing w:line="30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single" w:color="auto" w:sz="4" w:space="0"/>
            </w:tcBorders>
            <w:vAlign w:val="center"/>
          </w:tcPr>
          <w:p w14:paraId="6B6C9CF4">
            <w:pPr>
              <w:widowControl w:val="0"/>
              <w:kinsoku/>
              <w:autoSpaceDE/>
              <w:autoSpaceDN/>
              <w:spacing w:line="300" w:lineRule="exact"/>
              <w:jc w:val="both"/>
              <w:rPr>
                <w:rFonts w:ascii="Times New Roman" w:hAnsi="Times New Roman" w:cs="Times New Roman" w:eastAsiaTheme="minorEastAsia"/>
                <w:color w:val="000000" w:themeColor="text1"/>
                <w:spacing w:val="-6"/>
              </w:rPr>
            </w:pPr>
          </w:p>
        </w:tc>
        <w:tc>
          <w:tcPr>
            <w:tcW w:w="3788" w:type="dxa"/>
            <w:tcBorders>
              <w:bottom w:val="single" w:color="auto" w:sz="4" w:space="0"/>
            </w:tcBorders>
            <w:vAlign w:val="center"/>
          </w:tcPr>
          <w:p w14:paraId="4D243C28">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区城管执法局加强建筑垃圾清运车辆监管。</w:t>
            </w:r>
          </w:p>
        </w:tc>
        <w:tc>
          <w:tcPr>
            <w:tcW w:w="1066" w:type="dxa"/>
            <w:vMerge w:val="continue"/>
            <w:tcBorders>
              <w:top w:val="nil"/>
              <w:bottom w:val="single" w:color="auto" w:sz="4" w:space="0"/>
            </w:tcBorders>
            <w:vAlign w:val="center"/>
          </w:tcPr>
          <w:p w14:paraId="2334571A">
            <w:pPr>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p>
        </w:tc>
        <w:tc>
          <w:tcPr>
            <w:tcW w:w="1484" w:type="dxa"/>
            <w:vMerge w:val="continue"/>
            <w:tcBorders>
              <w:top w:val="nil"/>
              <w:bottom w:val="single" w:color="auto" w:sz="4" w:space="0"/>
            </w:tcBorders>
            <w:vAlign w:val="center"/>
          </w:tcPr>
          <w:p w14:paraId="72D2DC12">
            <w:pPr>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p>
        </w:tc>
        <w:tc>
          <w:tcPr>
            <w:tcW w:w="1596" w:type="dxa"/>
            <w:vMerge w:val="continue"/>
            <w:tcBorders>
              <w:top w:val="nil"/>
              <w:bottom w:val="single" w:color="auto" w:sz="4" w:space="0"/>
            </w:tcBorders>
            <w:vAlign w:val="center"/>
          </w:tcPr>
          <w:p w14:paraId="7F6FAB91">
            <w:pPr>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p>
        </w:tc>
        <w:tc>
          <w:tcPr>
            <w:tcW w:w="1359" w:type="dxa"/>
            <w:vMerge w:val="continue"/>
            <w:tcBorders>
              <w:top w:val="nil"/>
              <w:bottom w:val="single" w:color="auto" w:sz="4" w:space="0"/>
            </w:tcBorders>
            <w:vAlign w:val="center"/>
          </w:tcPr>
          <w:p w14:paraId="7746F22B">
            <w:pPr>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p>
        </w:tc>
      </w:tr>
      <w:tr w14:paraId="66ECCF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top w:val="single" w:color="auto" w:sz="4" w:space="0"/>
            </w:tcBorders>
            <w:vAlign w:val="center"/>
          </w:tcPr>
          <w:p w14:paraId="5295BE58">
            <w:pPr>
              <w:jc w:val="center"/>
              <w:textAlignment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28</w:t>
            </w:r>
          </w:p>
        </w:tc>
        <w:tc>
          <w:tcPr>
            <w:tcW w:w="885" w:type="dxa"/>
            <w:vMerge w:val="restart"/>
            <w:tcBorders>
              <w:top w:val="single" w:color="auto" w:sz="4" w:space="0"/>
            </w:tcBorders>
            <w:vAlign w:val="center"/>
          </w:tcPr>
          <w:p w14:paraId="322CC0DA">
            <w:pPr>
              <w:widowControl w:val="0"/>
              <w:spacing w:line="300" w:lineRule="exact"/>
              <w:jc w:val="center"/>
              <w:rPr>
                <w:rFonts w:ascii="Times New Roman" w:hAnsi="Times New Roman" w:cs="Times New Roman" w:eastAsiaTheme="minorEastAsia"/>
                <w:color w:val="000000" w:themeColor="text1"/>
                <w:spacing w:val="-6"/>
              </w:rPr>
            </w:pPr>
          </w:p>
        </w:tc>
        <w:tc>
          <w:tcPr>
            <w:tcW w:w="1432" w:type="dxa"/>
            <w:vMerge w:val="restart"/>
            <w:tcBorders>
              <w:top w:val="single" w:color="auto" w:sz="4" w:space="0"/>
            </w:tcBorders>
            <w:vAlign w:val="center"/>
          </w:tcPr>
          <w:p w14:paraId="4F7D3C7F">
            <w:pPr>
              <w:widowControl w:val="0"/>
              <w:kinsoku/>
              <w:autoSpaceDE/>
              <w:autoSpaceDN/>
              <w:spacing w:line="30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加强在用机动车管理</w:t>
            </w:r>
          </w:p>
        </w:tc>
        <w:tc>
          <w:tcPr>
            <w:tcW w:w="2542" w:type="dxa"/>
            <w:vMerge w:val="restart"/>
            <w:tcBorders>
              <w:top w:val="single" w:color="auto" w:sz="4" w:space="0"/>
              <w:bottom w:val="nil"/>
            </w:tcBorders>
            <w:vAlign w:val="center"/>
          </w:tcPr>
          <w:p w14:paraId="3AE42E8C">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大力推进渣土车“阳光运输”。夏防期加严管控期间，夜间渣土车清运仅允许使用纯电动及国六排放标准车辆，重点区域1公里范围内，暂停夜间审批，纯电动渣土车除外；应急管控期间，暂停夜间审批，纯电动渣土车除外。</w:t>
            </w:r>
          </w:p>
        </w:tc>
        <w:tc>
          <w:tcPr>
            <w:tcW w:w="3788" w:type="dxa"/>
            <w:tcBorders>
              <w:top w:val="single" w:color="auto" w:sz="4" w:space="0"/>
            </w:tcBorders>
            <w:vAlign w:val="center"/>
          </w:tcPr>
          <w:p w14:paraId="218A35D9">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严格平台审批，抓好源头把关。</w:t>
            </w:r>
          </w:p>
        </w:tc>
        <w:tc>
          <w:tcPr>
            <w:tcW w:w="1066" w:type="dxa"/>
            <w:tcBorders>
              <w:top w:val="single" w:color="auto" w:sz="4" w:space="0"/>
            </w:tcBorders>
            <w:vAlign w:val="center"/>
          </w:tcPr>
          <w:p w14:paraId="45DAFB87">
            <w:pPr>
              <w:pStyle w:val="11"/>
              <w:widowControl w:val="0"/>
              <w:kinsoku/>
              <w:autoSpaceDE/>
              <w:autoSpaceDN/>
              <w:spacing w:line="30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top w:val="single" w:color="auto" w:sz="4" w:space="0"/>
              <w:bottom w:val="nil"/>
            </w:tcBorders>
            <w:vAlign w:val="center"/>
          </w:tcPr>
          <w:p w14:paraId="68739C4C">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tc>
        <w:tc>
          <w:tcPr>
            <w:tcW w:w="1596" w:type="dxa"/>
            <w:vMerge w:val="restart"/>
            <w:tcBorders>
              <w:top w:val="single" w:color="auto" w:sz="4" w:space="0"/>
              <w:bottom w:val="nil"/>
            </w:tcBorders>
            <w:vAlign w:val="center"/>
          </w:tcPr>
          <w:p w14:paraId="63BE1DB3">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p w14:paraId="5BC18A4D">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359" w:type="dxa"/>
            <w:vMerge w:val="restart"/>
            <w:tcBorders>
              <w:top w:val="single" w:color="auto" w:sz="4" w:space="0"/>
              <w:bottom w:val="nil"/>
            </w:tcBorders>
            <w:vAlign w:val="center"/>
          </w:tcPr>
          <w:p w14:paraId="00BAB5ED">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5A3CF6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single" w:color="auto" w:sz="4" w:space="0"/>
            </w:tcBorders>
            <w:vAlign w:val="center"/>
          </w:tcPr>
          <w:p w14:paraId="1AFABB12">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11AE5704">
            <w:pPr>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single" w:color="auto" w:sz="4" w:space="0"/>
              <w:bottom w:val="single" w:color="000000" w:sz="4" w:space="0"/>
            </w:tcBorders>
            <w:vAlign w:val="center"/>
          </w:tcPr>
          <w:p w14:paraId="5E0B957B">
            <w:pPr>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single" w:color="auto" w:sz="4" w:space="0"/>
              <w:bottom w:val="nil"/>
            </w:tcBorders>
            <w:vAlign w:val="center"/>
          </w:tcPr>
          <w:p w14:paraId="32F27EE3">
            <w:pPr>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6494EA8F">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加强督导检查力度，夏防期每周组织一次，从严查处违规车辆。</w:t>
            </w:r>
          </w:p>
        </w:tc>
        <w:tc>
          <w:tcPr>
            <w:tcW w:w="1066" w:type="dxa"/>
            <w:vAlign w:val="center"/>
          </w:tcPr>
          <w:p w14:paraId="020C16FE">
            <w:pPr>
              <w:pStyle w:val="11"/>
              <w:widowControl w:val="0"/>
              <w:kinsoku/>
              <w:autoSpaceDE/>
              <w:autoSpaceDN/>
              <w:spacing w:line="30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single" w:color="auto" w:sz="4" w:space="0"/>
              <w:bottom w:val="nil"/>
            </w:tcBorders>
            <w:vAlign w:val="center"/>
          </w:tcPr>
          <w:p w14:paraId="2B497CCE">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596" w:type="dxa"/>
            <w:vMerge w:val="continue"/>
            <w:tcBorders>
              <w:top w:val="single" w:color="auto" w:sz="4" w:space="0"/>
              <w:bottom w:val="nil"/>
            </w:tcBorders>
            <w:vAlign w:val="center"/>
          </w:tcPr>
          <w:p w14:paraId="3CB60A03">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359" w:type="dxa"/>
            <w:vMerge w:val="continue"/>
            <w:tcBorders>
              <w:top w:val="single" w:color="auto" w:sz="4" w:space="0"/>
              <w:bottom w:val="nil"/>
            </w:tcBorders>
            <w:vAlign w:val="center"/>
          </w:tcPr>
          <w:p w14:paraId="24C8CBDF">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r>
      <w:tr w14:paraId="61392C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923" w:hRule="atLeast"/>
        </w:trPr>
        <w:tc>
          <w:tcPr>
            <w:tcW w:w="390" w:type="dxa"/>
            <w:vMerge w:val="continue"/>
            <w:tcBorders>
              <w:top w:val="single" w:color="auto" w:sz="4" w:space="0"/>
            </w:tcBorders>
            <w:vAlign w:val="center"/>
          </w:tcPr>
          <w:p w14:paraId="7F9E2E3E">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0A78A1BE">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auto" w:sz="4" w:space="0"/>
              <w:bottom w:val="single" w:color="000000" w:sz="4" w:space="0"/>
            </w:tcBorders>
            <w:vAlign w:val="center"/>
          </w:tcPr>
          <w:p w14:paraId="0E1CD804">
            <w:pPr>
              <w:widowControl w:val="0"/>
              <w:kinsoku/>
              <w:autoSpaceDE/>
              <w:autoSpaceDN/>
              <w:spacing w:line="300" w:lineRule="exact"/>
              <w:jc w:val="both"/>
              <w:rPr>
                <w:rFonts w:ascii="Times New Roman" w:hAnsi="Times New Roman" w:cs="Times New Roman" w:eastAsiaTheme="minorEastAsia"/>
                <w:color w:val="000000" w:themeColor="text1"/>
                <w:spacing w:val="-6"/>
              </w:rPr>
            </w:pPr>
          </w:p>
        </w:tc>
        <w:tc>
          <w:tcPr>
            <w:tcW w:w="2542" w:type="dxa"/>
            <w:vMerge w:val="continue"/>
            <w:tcBorders>
              <w:top w:val="single" w:color="auto" w:sz="4" w:space="0"/>
            </w:tcBorders>
            <w:vAlign w:val="center"/>
          </w:tcPr>
          <w:p w14:paraId="1BECCA94">
            <w:pPr>
              <w:widowControl w:val="0"/>
              <w:kinsoku/>
              <w:autoSpaceDE/>
              <w:autoSpaceDN/>
              <w:spacing w:line="300" w:lineRule="exact"/>
              <w:jc w:val="both"/>
              <w:rPr>
                <w:rFonts w:ascii="Times New Roman" w:hAnsi="Times New Roman" w:cs="Times New Roman" w:eastAsiaTheme="minorEastAsia"/>
                <w:color w:val="000000" w:themeColor="text1"/>
                <w:spacing w:val="-6"/>
              </w:rPr>
            </w:pPr>
          </w:p>
        </w:tc>
        <w:tc>
          <w:tcPr>
            <w:tcW w:w="3788" w:type="dxa"/>
            <w:vAlign w:val="center"/>
          </w:tcPr>
          <w:p w14:paraId="66EA700E">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对多次违规的渣土车企业拉入黑名单。</w:t>
            </w:r>
          </w:p>
        </w:tc>
        <w:tc>
          <w:tcPr>
            <w:tcW w:w="1066" w:type="dxa"/>
            <w:vAlign w:val="center"/>
          </w:tcPr>
          <w:p w14:paraId="1939371E">
            <w:pPr>
              <w:pStyle w:val="11"/>
              <w:widowControl w:val="0"/>
              <w:kinsoku/>
              <w:autoSpaceDE/>
              <w:autoSpaceDN/>
              <w:spacing w:line="30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single" w:color="auto" w:sz="4" w:space="0"/>
            </w:tcBorders>
            <w:vAlign w:val="center"/>
          </w:tcPr>
          <w:p w14:paraId="409C46AE">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596" w:type="dxa"/>
            <w:vMerge w:val="continue"/>
            <w:tcBorders>
              <w:top w:val="single" w:color="auto" w:sz="4" w:space="0"/>
            </w:tcBorders>
            <w:vAlign w:val="center"/>
          </w:tcPr>
          <w:p w14:paraId="3EA3E57D">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359" w:type="dxa"/>
            <w:vMerge w:val="continue"/>
            <w:tcBorders>
              <w:top w:val="single" w:color="auto" w:sz="4" w:space="0"/>
            </w:tcBorders>
            <w:vAlign w:val="center"/>
          </w:tcPr>
          <w:p w14:paraId="6EBB1404">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r>
      <w:tr w14:paraId="5597C7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992" w:hRule="atLeast"/>
        </w:trPr>
        <w:tc>
          <w:tcPr>
            <w:tcW w:w="390" w:type="dxa"/>
            <w:vMerge w:val="restart"/>
            <w:tcBorders>
              <w:bottom w:val="nil"/>
            </w:tcBorders>
            <w:vAlign w:val="center"/>
          </w:tcPr>
          <w:p w14:paraId="324D5BAE">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29</w:t>
            </w:r>
          </w:p>
        </w:tc>
        <w:tc>
          <w:tcPr>
            <w:tcW w:w="885" w:type="dxa"/>
            <w:vMerge w:val="restart"/>
            <w:vAlign w:val="center"/>
          </w:tcPr>
          <w:p w14:paraId="7409F540">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扬尘治理工程</w:t>
            </w:r>
          </w:p>
        </w:tc>
        <w:tc>
          <w:tcPr>
            <w:tcW w:w="1432" w:type="dxa"/>
            <w:vMerge w:val="restart"/>
            <w:tcBorders>
              <w:top w:val="single" w:color="000000" w:sz="4" w:space="0"/>
              <w:bottom w:val="single" w:color="000000" w:sz="4" w:space="0"/>
            </w:tcBorders>
            <w:vAlign w:val="center"/>
          </w:tcPr>
          <w:p w14:paraId="48EE356A">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强</w:t>
            </w:r>
            <w:r>
              <w:rPr>
                <w:rFonts w:ascii="Times New Roman" w:hAnsi="Times New Roman" w:cs="Times New Roman" w:eastAsiaTheme="minorEastAsia"/>
                <w:color w:val="000000" w:themeColor="text1"/>
                <w:spacing w:val="-6"/>
              </w:rPr>
              <w:t>化降尘量</w:t>
            </w:r>
            <w:r>
              <w:rPr>
                <w:rFonts w:ascii="Times New Roman" w:hAnsi="Times New Roman" w:cs="Times New Roman" w:eastAsiaTheme="minorEastAsia"/>
                <w:color w:val="000000" w:themeColor="text1"/>
                <w:spacing w:val="-6"/>
                <w:lang w:eastAsia="zh-CN"/>
              </w:rPr>
              <w:t>控制</w:t>
            </w:r>
          </w:p>
        </w:tc>
        <w:tc>
          <w:tcPr>
            <w:tcW w:w="2542" w:type="dxa"/>
            <w:vMerge w:val="restart"/>
            <w:tcBorders>
              <w:bottom w:val="nil"/>
            </w:tcBorders>
            <w:vAlign w:val="center"/>
          </w:tcPr>
          <w:p w14:paraId="10EDE31D">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持续加强扬尘污染管控考核，月度平均降尘量不高于5吨/月</w:t>
            </w:r>
            <w:r>
              <w:rPr>
                <w:rFonts w:ascii="Times New Roman" w:hAnsi="Times New Roman" w:eastAsia="微软雅黑" w:cs="Times New Roman"/>
                <w:color w:val="000000" w:themeColor="text1"/>
                <w:spacing w:val="-6"/>
                <w:lang w:eastAsia="zh-CN"/>
              </w:rPr>
              <w:t>∙</w:t>
            </w:r>
            <w:r>
              <w:rPr>
                <w:rFonts w:ascii="Times New Roman" w:hAnsi="Times New Roman" w:cs="Times New Roman" w:eastAsiaTheme="minorEastAsia"/>
                <w:color w:val="000000" w:themeColor="text1"/>
                <w:spacing w:val="-6"/>
                <w:lang w:eastAsia="zh-CN"/>
              </w:rPr>
              <w:t>平方公里。</w:t>
            </w:r>
          </w:p>
        </w:tc>
        <w:tc>
          <w:tcPr>
            <w:tcW w:w="3788" w:type="dxa"/>
            <w:vAlign w:val="center"/>
          </w:tcPr>
          <w:p w14:paraId="0147AEF0">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对各片区降尘量实施逐月监测排名，并考核通报。</w:t>
            </w:r>
          </w:p>
        </w:tc>
        <w:tc>
          <w:tcPr>
            <w:tcW w:w="1066" w:type="dxa"/>
            <w:vAlign w:val="center"/>
          </w:tcPr>
          <w:p w14:paraId="6F2872B4">
            <w:pPr>
              <w:pStyle w:val="11"/>
              <w:widowControl w:val="0"/>
              <w:kinsoku/>
              <w:autoSpaceDE/>
              <w:autoSpaceDN/>
              <w:spacing w:line="30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097692B1">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30C29509">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Merge w:val="restart"/>
            <w:tcBorders>
              <w:bottom w:val="nil"/>
            </w:tcBorders>
            <w:vAlign w:val="center"/>
          </w:tcPr>
          <w:p w14:paraId="2EC43AD2">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4D5353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512" w:hRule="atLeast"/>
        </w:trPr>
        <w:tc>
          <w:tcPr>
            <w:tcW w:w="390" w:type="dxa"/>
            <w:vMerge w:val="continue"/>
            <w:tcBorders>
              <w:top w:val="nil"/>
            </w:tcBorders>
            <w:vAlign w:val="center"/>
          </w:tcPr>
          <w:p w14:paraId="75C7C86D">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38916E4F">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single" w:color="000000" w:sz="4" w:space="0"/>
              <w:bottom w:val="single" w:color="000000" w:sz="4" w:space="0"/>
            </w:tcBorders>
            <w:vAlign w:val="center"/>
          </w:tcPr>
          <w:p w14:paraId="5E85A8C0">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tcBorders>
            <w:vAlign w:val="center"/>
          </w:tcPr>
          <w:p w14:paraId="523302E6">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0AABB488">
            <w:pPr>
              <w:pStyle w:val="11"/>
              <w:widowControl w:val="0"/>
              <w:kinsoku/>
              <w:autoSpaceDE/>
              <w:autoSpaceDN/>
              <w:spacing w:line="30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将月度排名情况纳入年度考核指标。</w:t>
            </w:r>
          </w:p>
        </w:tc>
        <w:tc>
          <w:tcPr>
            <w:tcW w:w="1066" w:type="dxa"/>
            <w:vAlign w:val="center"/>
          </w:tcPr>
          <w:p w14:paraId="3C5263C9">
            <w:pPr>
              <w:pStyle w:val="11"/>
              <w:widowControl w:val="0"/>
              <w:kinsoku/>
              <w:autoSpaceDE/>
              <w:autoSpaceDN/>
              <w:spacing w:line="30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6A6B34D5">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43EDF9A4">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39B0781D">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r>
      <w:tr w14:paraId="57B189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3249" w:hRule="atLeast"/>
        </w:trPr>
        <w:tc>
          <w:tcPr>
            <w:tcW w:w="390" w:type="dxa"/>
            <w:vAlign w:val="center"/>
          </w:tcPr>
          <w:p w14:paraId="6E60DEEC">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30</w:t>
            </w:r>
          </w:p>
        </w:tc>
        <w:tc>
          <w:tcPr>
            <w:tcW w:w="885" w:type="dxa"/>
            <w:vMerge w:val="continue"/>
            <w:tcBorders>
              <w:bottom w:val="single" w:color="auto" w:sz="4" w:space="0"/>
            </w:tcBorders>
            <w:vAlign w:val="center"/>
          </w:tcPr>
          <w:p w14:paraId="41623872">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Merge w:val="restart"/>
            <w:tcBorders>
              <w:top w:val="single" w:color="000000" w:sz="4" w:space="0"/>
            </w:tcBorders>
            <w:vAlign w:val="center"/>
          </w:tcPr>
          <w:p w14:paraId="16165FFE">
            <w:pPr>
              <w:pStyle w:val="11"/>
              <w:widowControl w:val="0"/>
              <w:kinsoku/>
              <w:autoSpaceDE/>
              <w:autoSpaceDN/>
              <w:spacing w:line="26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加强道路扬尘管理</w:t>
            </w:r>
          </w:p>
        </w:tc>
        <w:tc>
          <w:tcPr>
            <w:tcW w:w="2542" w:type="dxa"/>
            <w:vAlign w:val="center"/>
          </w:tcPr>
          <w:p w14:paraId="2D03B553">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加强道路机械化清扫力度，确保城市主城区主次干道及主要入城道路积尘负荷监测稳定达到优级别。</w:t>
            </w:r>
          </w:p>
        </w:tc>
        <w:tc>
          <w:tcPr>
            <w:tcW w:w="3788" w:type="dxa"/>
            <w:vAlign w:val="center"/>
          </w:tcPr>
          <w:p w14:paraId="23448FBC">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城市道路保洁作业标准，实行机械化清扫、精细化保洁、地毯式吸尘、定时段清洗、全方位洒水的“五位一体”作业模式，从源头上防止道路扬尘。城市建成区道路机械化清扫率达到90%。执行《城市道路清扫保洁与质量评价标准（CJJ/T126-2022）》《防治城市扬尘污染技术规范（HJ/T393-2007）》，确保城市主城区主次干道及主要入城道路积尘负荷监测稳定达到优级别。</w:t>
            </w:r>
          </w:p>
        </w:tc>
        <w:tc>
          <w:tcPr>
            <w:tcW w:w="1066" w:type="dxa"/>
            <w:vAlign w:val="center"/>
          </w:tcPr>
          <w:p w14:paraId="062894D2">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4B922A29">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tc>
        <w:tc>
          <w:tcPr>
            <w:tcW w:w="1596" w:type="dxa"/>
            <w:vAlign w:val="center"/>
          </w:tcPr>
          <w:p w14:paraId="5265D81E">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04A2E0CE">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359" w:type="dxa"/>
            <w:vAlign w:val="center"/>
          </w:tcPr>
          <w:p w14:paraId="16C3DD1F">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26F050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vAlign w:val="center"/>
          </w:tcPr>
          <w:p w14:paraId="5A58DACD">
            <w:pPr>
              <w:jc w:val="center"/>
              <w:textAlignment w:val="center"/>
              <w:rPr>
                <w:rFonts w:ascii="Times New Roman" w:hAnsi="Times New Roman" w:cs="Times New Roman" w:eastAsiaTheme="minorEastAsia"/>
                <w:color w:val="000000" w:themeColor="text1"/>
                <w:spacing w:val="-6"/>
                <w:lang w:eastAsia="zh-CN"/>
              </w:rPr>
            </w:pPr>
            <w:r>
              <w:rPr>
                <w:rFonts w:ascii="Times New Roman" w:hAnsi="Times New Roman" w:eastAsia="宋体" w:cs="Times New Roman"/>
                <w:lang w:eastAsia="zh-CN"/>
              </w:rPr>
              <w:t>31</w:t>
            </w:r>
          </w:p>
        </w:tc>
        <w:tc>
          <w:tcPr>
            <w:tcW w:w="885" w:type="dxa"/>
            <w:vMerge w:val="restart"/>
            <w:tcBorders>
              <w:top w:val="single" w:color="auto" w:sz="4" w:space="0"/>
            </w:tcBorders>
            <w:shd w:val="clear" w:color="auto" w:fill="auto"/>
            <w:vAlign w:val="center"/>
          </w:tcPr>
          <w:p w14:paraId="737E4B74">
            <w:pPr>
              <w:pStyle w:val="11"/>
              <w:widowControl w:val="0"/>
              <w:kinsoku/>
              <w:autoSpaceDE/>
              <w:autoSpaceDN/>
              <w:spacing w:line="30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扬尘治理工程</w:t>
            </w:r>
          </w:p>
        </w:tc>
        <w:tc>
          <w:tcPr>
            <w:tcW w:w="1432" w:type="dxa"/>
            <w:vMerge w:val="continue"/>
            <w:shd w:val="clear" w:color="auto" w:fill="auto"/>
            <w:vAlign w:val="center"/>
          </w:tcPr>
          <w:p w14:paraId="154FC1FB">
            <w:pPr>
              <w:pStyle w:val="11"/>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2542" w:type="dxa"/>
            <w:tcBorders>
              <w:bottom w:val="single" w:color="auto" w:sz="4" w:space="0"/>
            </w:tcBorders>
            <w:vAlign w:val="center"/>
          </w:tcPr>
          <w:p w14:paraId="0B41ABA2">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加强道路扬尘污染问题集中整治。</w:t>
            </w:r>
          </w:p>
        </w:tc>
        <w:tc>
          <w:tcPr>
            <w:tcW w:w="3788" w:type="dxa"/>
            <w:vAlign w:val="center"/>
          </w:tcPr>
          <w:p w14:paraId="0E70458A">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运用公共交通车辆走航和道路扬尘在线监测数据，强化道路扬尘实时监测，及时通报污染路段，督促相关单位加强道路保洁。每月对公共交通车辆走航排名后40名的路段进行公开通报，区城管执法局和区交通局同步开展集中整治。</w:t>
            </w:r>
          </w:p>
        </w:tc>
        <w:tc>
          <w:tcPr>
            <w:tcW w:w="1066" w:type="dxa"/>
            <w:vAlign w:val="center"/>
          </w:tcPr>
          <w:p w14:paraId="43F0C24B">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5002B9F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7F54229A">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6ABE8B5E">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Align w:val="center"/>
          </w:tcPr>
          <w:p w14:paraId="0D90CFC1">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6D4C2E0B">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22C0CD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vAlign w:val="center"/>
          </w:tcPr>
          <w:p w14:paraId="75CC6613">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041BE3FE">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p>
        </w:tc>
        <w:tc>
          <w:tcPr>
            <w:tcW w:w="1432" w:type="dxa"/>
            <w:vMerge w:val="continue"/>
            <w:vAlign w:val="center"/>
          </w:tcPr>
          <w:p w14:paraId="7EFB9D2B">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p>
        </w:tc>
        <w:tc>
          <w:tcPr>
            <w:tcW w:w="2542" w:type="dxa"/>
            <w:vMerge w:val="restart"/>
            <w:tcBorders>
              <w:top w:val="single" w:color="auto" w:sz="4" w:space="0"/>
            </w:tcBorders>
            <w:vAlign w:val="center"/>
          </w:tcPr>
          <w:p w14:paraId="0588AF1E">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加强道路扬尘污染问题集中整治。</w:t>
            </w:r>
          </w:p>
        </w:tc>
        <w:tc>
          <w:tcPr>
            <w:tcW w:w="3788" w:type="dxa"/>
            <w:vAlign w:val="center"/>
          </w:tcPr>
          <w:p w14:paraId="30144A1A">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沙尘过境后3天内进行全域大冲洗，全面清洗公共设施、交通护栏、绿化隔离带等积尘浮尘，彻底清除护栏下和道牙石周边泥土，对辖区内楼宇进行外立面清洗和楼顶保洁，全面彻底清洗住宅小区阳台、楼顶积尘、企事业单位公共区域积尘，确保城市清洁全覆盖，减少道路源扬尘污染。</w:t>
            </w:r>
          </w:p>
        </w:tc>
        <w:tc>
          <w:tcPr>
            <w:tcW w:w="1066" w:type="dxa"/>
            <w:vAlign w:val="center"/>
          </w:tcPr>
          <w:p w14:paraId="0B2E3927">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305EEB20">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tc>
        <w:tc>
          <w:tcPr>
            <w:tcW w:w="1596" w:type="dxa"/>
            <w:vAlign w:val="center"/>
          </w:tcPr>
          <w:p w14:paraId="33E0C24C">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5703B94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359" w:type="dxa"/>
            <w:vAlign w:val="center"/>
          </w:tcPr>
          <w:p w14:paraId="0B3477CE">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361B30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vAlign w:val="center"/>
          </w:tcPr>
          <w:p w14:paraId="570D616A">
            <w:pPr>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760AA9F7">
            <w:pPr>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p>
        </w:tc>
        <w:tc>
          <w:tcPr>
            <w:tcW w:w="1432" w:type="dxa"/>
            <w:vMerge w:val="continue"/>
            <w:vAlign w:val="center"/>
          </w:tcPr>
          <w:p w14:paraId="3DEAF78F">
            <w:pPr>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p>
        </w:tc>
        <w:tc>
          <w:tcPr>
            <w:tcW w:w="2542" w:type="dxa"/>
            <w:vMerge w:val="continue"/>
            <w:vAlign w:val="center"/>
          </w:tcPr>
          <w:p w14:paraId="46CF17A3">
            <w:pPr>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5D50CB9B">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依托国控、省控、街镇空气质量监测站，对PM</w:t>
            </w:r>
            <w:r>
              <w:rPr>
                <w:rFonts w:ascii="Times New Roman" w:hAnsi="Times New Roman" w:cs="Times New Roman" w:eastAsiaTheme="minorEastAsia"/>
                <w:color w:val="000000" w:themeColor="text1"/>
                <w:spacing w:val="-6"/>
                <w:vertAlign w:val="subscript"/>
                <w:lang w:eastAsia="zh-CN"/>
              </w:rPr>
              <w:t>10</w:t>
            </w:r>
            <w:r>
              <w:rPr>
                <w:rFonts w:ascii="Times New Roman" w:hAnsi="Times New Roman" w:cs="Times New Roman" w:eastAsiaTheme="minorEastAsia"/>
                <w:color w:val="000000" w:themeColor="text1"/>
                <w:spacing w:val="-6"/>
                <w:lang w:eastAsia="zh-CN"/>
              </w:rPr>
              <w:t>污染突出的区域，由生态环境分局统一调度，相关片区要立即对重点区域1公里范围内道路进行大冲洗。</w:t>
            </w:r>
          </w:p>
        </w:tc>
        <w:tc>
          <w:tcPr>
            <w:tcW w:w="1066" w:type="dxa"/>
            <w:vAlign w:val="center"/>
          </w:tcPr>
          <w:p w14:paraId="0242806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0886A25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596" w:type="dxa"/>
            <w:vAlign w:val="center"/>
          </w:tcPr>
          <w:p w14:paraId="1BDB37F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7614CC83">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1D9DF065">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50952240">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105C3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409" w:hRule="atLeast"/>
        </w:trPr>
        <w:tc>
          <w:tcPr>
            <w:tcW w:w="390" w:type="dxa"/>
            <w:vMerge w:val="restart"/>
            <w:tcBorders>
              <w:bottom w:val="nil"/>
            </w:tcBorders>
            <w:vAlign w:val="center"/>
          </w:tcPr>
          <w:p w14:paraId="1BE58559">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32</w:t>
            </w:r>
          </w:p>
        </w:tc>
        <w:tc>
          <w:tcPr>
            <w:tcW w:w="885" w:type="dxa"/>
            <w:vMerge w:val="continue"/>
            <w:vAlign w:val="center"/>
          </w:tcPr>
          <w:p w14:paraId="62C03E36">
            <w:pPr>
              <w:pStyle w:val="11"/>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714A1332">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restart"/>
            <w:tcBorders>
              <w:bottom w:val="nil"/>
            </w:tcBorders>
            <w:vAlign w:val="center"/>
          </w:tcPr>
          <w:p w14:paraId="6C928172">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严格易产生扬尘运输车辆监管。</w:t>
            </w:r>
          </w:p>
        </w:tc>
        <w:tc>
          <w:tcPr>
            <w:tcW w:w="3788" w:type="dxa"/>
            <w:vAlign w:val="center"/>
          </w:tcPr>
          <w:p w14:paraId="4A595ABD">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严厉打击渣土车高尖抛洒、带泥上路、偷倒乱倒渣土、无建运资质渣土车（黑渣土车）等违法行为，对于查扣的车辆，依法依规进行处罚，对2次及以上违规行为的企业停业整顿。</w:t>
            </w:r>
          </w:p>
        </w:tc>
        <w:tc>
          <w:tcPr>
            <w:tcW w:w="1066" w:type="dxa"/>
            <w:vAlign w:val="center"/>
          </w:tcPr>
          <w:p w14:paraId="2B2BAF3C">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3457A1FD">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tc>
        <w:tc>
          <w:tcPr>
            <w:tcW w:w="1596" w:type="dxa"/>
            <w:vAlign w:val="center"/>
          </w:tcPr>
          <w:p w14:paraId="520226D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069EE60B">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359" w:type="dxa"/>
            <w:vAlign w:val="center"/>
          </w:tcPr>
          <w:p w14:paraId="5FE19C6D">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7C97A7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977" w:hRule="atLeast"/>
        </w:trPr>
        <w:tc>
          <w:tcPr>
            <w:tcW w:w="390" w:type="dxa"/>
            <w:vMerge w:val="continue"/>
            <w:tcBorders>
              <w:top w:val="nil"/>
              <w:bottom w:val="nil"/>
            </w:tcBorders>
            <w:vAlign w:val="center"/>
          </w:tcPr>
          <w:p w14:paraId="5CDE734F">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44C20E62">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vAlign w:val="center"/>
          </w:tcPr>
          <w:p w14:paraId="3BABBEB6">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bottom w:val="nil"/>
            </w:tcBorders>
            <w:vAlign w:val="center"/>
          </w:tcPr>
          <w:p w14:paraId="1013B98F">
            <w:pPr>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01DA7322">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加强车辆冲洗，由清运项目负责对项目出入口沿线1公里范围内道路不间断冲洗、保湿。</w:t>
            </w:r>
          </w:p>
        </w:tc>
        <w:tc>
          <w:tcPr>
            <w:tcW w:w="1066" w:type="dxa"/>
            <w:vAlign w:val="center"/>
          </w:tcPr>
          <w:p w14:paraId="189F6D8D">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15E2384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tc>
        <w:tc>
          <w:tcPr>
            <w:tcW w:w="1596" w:type="dxa"/>
            <w:vAlign w:val="center"/>
          </w:tcPr>
          <w:p w14:paraId="06E23780">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4FAEB529">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区级相关部门各街道办事处各园区管委会</w:t>
            </w:r>
          </w:p>
        </w:tc>
      </w:tr>
      <w:tr w14:paraId="1EBC81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976" w:hRule="atLeast"/>
        </w:trPr>
        <w:tc>
          <w:tcPr>
            <w:tcW w:w="390" w:type="dxa"/>
            <w:vMerge w:val="continue"/>
            <w:tcBorders>
              <w:top w:val="nil"/>
            </w:tcBorders>
            <w:vAlign w:val="center"/>
          </w:tcPr>
          <w:p w14:paraId="3B5AC8A2">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tcBorders>
              <w:bottom w:val="single" w:color="auto" w:sz="4" w:space="0"/>
            </w:tcBorders>
            <w:vAlign w:val="center"/>
          </w:tcPr>
          <w:p w14:paraId="46A070CB">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bottom w:val="single" w:color="000000" w:sz="4" w:space="0"/>
            </w:tcBorders>
            <w:vAlign w:val="center"/>
          </w:tcPr>
          <w:p w14:paraId="5F4FEB6C">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tcBorders>
            <w:vAlign w:val="center"/>
          </w:tcPr>
          <w:p w14:paraId="3C55A6CA">
            <w:pPr>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52A3DF02">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落实易造成粉尘逸散的砂石等运输车辆密闭运输要求，防止运输过程中出现抛撒滴漏及扬尘问题。</w:t>
            </w:r>
          </w:p>
        </w:tc>
        <w:tc>
          <w:tcPr>
            <w:tcW w:w="1066" w:type="dxa"/>
            <w:vAlign w:val="center"/>
          </w:tcPr>
          <w:p w14:paraId="1763AF45">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593CC50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596" w:type="dxa"/>
            <w:vAlign w:val="center"/>
          </w:tcPr>
          <w:p w14:paraId="3A0902F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4300392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359" w:type="dxa"/>
            <w:vAlign w:val="center"/>
          </w:tcPr>
          <w:p w14:paraId="44B4C375">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r>
      <w:tr w14:paraId="37093D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278" w:hRule="atLeast"/>
        </w:trPr>
        <w:tc>
          <w:tcPr>
            <w:tcW w:w="390" w:type="dxa"/>
            <w:vMerge w:val="restart"/>
            <w:tcBorders>
              <w:bottom w:val="nil"/>
            </w:tcBorders>
            <w:vAlign w:val="center"/>
          </w:tcPr>
          <w:p w14:paraId="22DACC46">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33</w:t>
            </w:r>
          </w:p>
        </w:tc>
        <w:tc>
          <w:tcPr>
            <w:tcW w:w="885" w:type="dxa"/>
            <w:vMerge w:val="restart"/>
            <w:tcBorders>
              <w:top w:val="single" w:color="auto" w:sz="4" w:space="0"/>
            </w:tcBorders>
            <w:vAlign w:val="center"/>
          </w:tcPr>
          <w:p w14:paraId="52660D2F">
            <w:pPr>
              <w:pStyle w:val="11"/>
              <w:widowControl w:val="0"/>
              <w:kinsoku/>
              <w:autoSpaceDE/>
              <w:autoSpaceDN/>
              <w:spacing w:line="28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扬尘治理工程</w:t>
            </w:r>
          </w:p>
        </w:tc>
        <w:tc>
          <w:tcPr>
            <w:tcW w:w="1432" w:type="dxa"/>
            <w:vMerge w:val="restart"/>
            <w:tcBorders>
              <w:top w:val="single" w:color="000000" w:sz="4" w:space="0"/>
              <w:bottom w:val="single" w:color="000000" w:sz="4" w:space="0"/>
            </w:tcBorders>
            <w:vAlign w:val="center"/>
          </w:tcPr>
          <w:p w14:paraId="476AAF44">
            <w:pPr>
              <w:pStyle w:val="11"/>
              <w:widowControl w:val="0"/>
              <w:kinsoku/>
              <w:autoSpaceDE/>
              <w:autoSpaceDN/>
              <w:spacing w:line="30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加强道路扬尘管理</w:t>
            </w:r>
          </w:p>
        </w:tc>
        <w:tc>
          <w:tcPr>
            <w:tcW w:w="2542" w:type="dxa"/>
            <w:vMerge w:val="restart"/>
            <w:tcBorders>
              <w:bottom w:val="nil"/>
            </w:tcBorders>
            <w:vAlign w:val="center"/>
          </w:tcPr>
          <w:p w14:paraId="0C6ECCD3">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加强对城市公共区域、临时闲置建设用地、城区道路两侧和城区河道两侧裸露土地的硬化和绿化，对未及时清运的渣土实行高标准覆盖。</w:t>
            </w:r>
          </w:p>
        </w:tc>
        <w:tc>
          <w:tcPr>
            <w:tcW w:w="3788" w:type="dxa"/>
            <w:vAlign w:val="center"/>
          </w:tcPr>
          <w:p w14:paraId="708309DF">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对城市连片裸露地面、废旧厂区等进行排查建档，明确硬化、绿化和覆盖等相关措施，明确责任单位。</w:t>
            </w:r>
          </w:p>
        </w:tc>
        <w:tc>
          <w:tcPr>
            <w:tcW w:w="1066" w:type="dxa"/>
            <w:vAlign w:val="center"/>
          </w:tcPr>
          <w:p w14:paraId="268E383D">
            <w:pPr>
              <w:pStyle w:val="11"/>
              <w:widowControl w:val="0"/>
              <w:kinsoku/>
              <w:autoSpaceDE/>
              <w:autoSpaceDN/>
              <w:spacing w:line="30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4F779762">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资源规划分局</w:t>
            </w:r>
          </w:p>
        </w:tc>
        <w:tc>
          <w:tcPr>
            <w:tcW w:w="1596" w:type="dxa"/>
            <w:vMerge w:val="restart"/>
            <w:tcBorders>
              <w:bottom w:val="nil"/>
            </w:tcBorders>
            <w:vAlign w:val="center"/>
          </w:tcPr>
          <w:p w14:paraId="48FA71D8">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162B6BC1">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1ADC066F">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tc>
        <w:tc>
          <w:tcPr>
            <w:tcW w:w="1359" w:type="dxa"/>
            <w:vMerge w:val="restart"/>
            <w:vAlign w:val="center"/>
          </w:tcPr>
          <w:p w14:paraId="1FA8468E">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538413AF">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6C93DF08">
            <w:pPr>
              <w:pStyle w:val="11"/>
              <w:widowControl w:val="0"/>
              <w:kinsoku/>
              <w:autoSpaceDE/>
              <w:autoSpaceDN/>
              <w:spacing w:line="30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7915B1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3253" w:hRule="atLeast"/>
        </w:trPr>
        <w:tc>
          <w:tcPr>
            <w:tcW w:w="390" w:type="dxa"/>
            <w:vMerge w:val="continue"/>
            <w:tcBorders>
              <w:top w:val="nil"/>
            </w:tcBorders>
            <w:vAlign w:val="center"/>
          </w:tcPr>
          <w:p w14:paraId="3BFACE71">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3786C667">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000000" w:sz="4" w:space="0"/>
              <w:bottom w:val="single" w:color="000000" w:sz="4" w:space="0"/>
            </w:tcBorders>
            <w:vAlign w:val="center"/>
          </w:tcPr>
          <w:p w14:paraId="1837217C">
            <w:pPr>
              <w:widowControl w:val="0"/>
              <w:kinsoku/>
              <w:autoSpaceDE/>
              <w:autoSpaceDN/>
              <w:spacing w:line="30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6EFC421D">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vAlign w:val="center"/>
          </w:tcPr>
          <w:p w14:paraId="1901C90C">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城市及周边道路两侧裸土、长期闲置土地覆盖，黄土裸露的绿化用地及时绿化；半年未开工建设的建设工程项目用地及长期闲置土地、柴油货车停车场，土地使用权人和建设单位应当实施临时绿化或硬化。（在建工地范围内的柴油货车停车场硬化、绿化任务由区住建局负责；建筑垃圾清运项目范围内的柴油货车停车场硬化绿化任务由区城管执法局负责）</w:t>
            </w:r>
          </w:p>
        </w:tc>
        <w:tc>
          <w:tcPr>
            <w:tcW w:w="1066" w:type="dxa"/>
            <w:vAlign w:val="center"/>
          </w:tcPr>
          <w:p w14:paraId="1B060F80">
            <w:pPr>
              <w:pStyle w:val="11"/>
              <w:widowControl w:val="0"/>
              <w:kinsoku/>
              <w:autoSpaceDE/>
              <w:autoSpaceDN/>
              <w:spacing w:line="30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42F2E55D">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22407171">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359" w:type="dxa"/>
            <w:vMerge w:val="continue"/>
            <w:vAlign w:val="center"/>
          </w:tcPr>
          <w:p w14:paraId="52CCBA4D">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r>
      <w:tr w14:paraId="38F1E7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266" w:hRule="atLeast"/>
        </w:trPr>
        <w:tc>
          <w:tcPr>
            <w:tcW w:w="390" w:type="dxa"/>
            <w:vMerge w:val="restart"/>
            <w:tcBorders>
              <w:bottom w:val="nil"/>
            </w:tcBorders>
            <w:vAlign w:val="center"/>
          </w:tcPr>
          <w:p w14:paraId="6FCC1D04">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34</w:t>
            </w:r>
          </w:p>
        </w:tc>
        <w:tc>
          <w:tcPr>
            <w:tcW w:w="885" w:type="dxa"/>
            <w:vMerge w:val="continue"/>
            <w:vAlign w:val="center"/>
          </w:tcPr>
          <w:p w14:paraId="797BC0DC">
            <w:pPr>
              <w:widowControl w:val="0"/>
              <w:kinsoku/>
              <w:autoSpaceDE/>
              <w:autoSpaceDN/>
              <w:spacing w:line="300" w:lineRule="exact"/>
              <w:jc w:val="center"/>
              <w:rPr>
                <w:rFonts w:ascii="Times New Roman" w:hAnsi="Times New Roman" w:cs="Times New Roman" w:eastAsiaTheme="minorEastAsia"/>
                <w:color w:val="000000" w:themeColor="text1"/>
                <w:spacing w:val="-6"/>
              </w:rPr>
            </w:pPr>
          </w:p>
        </w:tc>
        <w:tc>
          <w:tcPr>
            <w:tcW w:w="1432" w:type="dxa"/>
            <w:vMerge w:val="restart"/>
            <w:tcBorders>
              <w:top w:val="single" w:color="000000" w:sz="4" w:space="0"/>
              <w:bottom w:val="single" w:color="000000" w:sz="4" w:space="0"/>
            </w:tcBorders>
            <w:vAlign w:val="center"/>
          </w:tcPr>
          <w:p w14:paraId="1B0F6524">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强化工地扬尘管控</w:t>
            </w:r>
          </w:p>
        </w:tc>
        <w:tc>
          <w:tcPr>
            <w:tcW w:w="2542" w:type="dxa"/>
            <w:vMerge w:val="restart"/>
            <w:tcBorders>
              <w:bottom w:val="nil"/>
            </w:tcBorders>
            <w:vAlign w:val="center"/>
          </w:tcPr>
          <w:p w14:paraId="2F3102E9">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持续推进扬尘在线监测系统建设，加强监测监管。</w:t>
            </w:r>
          </w:p>
        </w:tc>
        <w:tc>
          <w:tcPr>
            <w:tcW w:w="3788" w:type="dxa"/>
            <w:vAlign w:val="center"/>
          </w:tcPr>
          <w:p w14:paraId="73CFA2D9">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每季度更新《重点扬尘源名录》，实现工地扬尘在线监管全覆盖，与市智慧环保指挥中心联网。</w:t>
            </w:r>
          </w:p>
        </w:tc>
        <w:tc>
          <w:tcPr>
            <w:tcW w:w="1066" w:type="dxa"/>
            <w:vAlign w:val="center"/>
          </w:tcPr>
          <w:p w14:paraId="12E4156A">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785841E0">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278DBCB1">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5FF23BBE">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16CC78C8">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7F167148">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tc>
        <w:tc>
          <w:tcPr>
            <w:tcW w:w="1359" w:type="dxa"/>
            <w:vMerge w:val="restart"/>
            <w:tcBorders>
              <w:bottom w:val="nil"/>
            </w:tcBorders>
            <w:vAlign w:val="center"/>
          </w:tcPr>
          <w:p w14:paraId="38B53E2A">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1D0CEF7F">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130F3348">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519C27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603" w:hRule="atLeast"/>
        </w:trPr>
        <w:tc>
          <w:tcPr>
            <w:tcW w:w="390" w:type="dxa"/>
            <w:vMerge w:val="continue"/>
            <w:tcBorders>
              <w:top w:val="nil"/>
            </w:tcBorders>
            <w:vAlign w:val="center"/>
          </w:tcPr>
          <w:p w14:paraId="7D0D9125">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5B17EDC5">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000000" w:sz="4" w:space="0"/>
              <w:bottom w:val="single" w:color="000000" w:sz="4" w:space="0"/>
            </w:tcBorders>
            <w:vAlign w:val="center"/>
          </w:tcPr>
          <w:p w14:paraId="1505F289">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single" w:color="auto" w:sz="4" w:space="0"/>
            </w:tcBorders>
            <w:vAlign w:val="center"/>
          </w:tcPr>
          <w:p w14:paraId="7C3C1FAB">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3788" w:type="dxa"/>
            <w:tcBorders>
              <w:bottom w:val="single" w:color="auto" w:sz="4" w:space="0"/>
            </w:tcBorders>
            <w:vAlign w:val="center"/>
          </w:tcPr>
          <w:p w14:paraId="7D7F4CB0">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持续开展扬尘在线监测设备、点位质控，确保数据真实有效，对人为干扰工地扬尘在线监测数据行为，依法处理并纳入建筑市场信用惩戒体系。</w:t>
            </w:r>
          </w:p>
        </w:tc>
        <w:tc>
          <w:tcPr>
            <w:tcW w:w="1066" w:type="dxa"/>
            <w:tcBorders>
              <w:bottom w:val="single" w:color="auto" w:sz="4" w:space="0"/>
            </w:tcBorders>
            <w:vAlign w:val="center"/>
          </w:tcPr>
          <w:p w14:paraId="31B283D9">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single" w:color="auto" w:sz="4" w:space="0"/>
            </w:tcBorders>
            <w:vAlign w:val="center"/>
          </w:tcPr>
          <w:p w14:paraId="3B233342">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single" w:color="auto" w:sz="4" w:space="0"/>
            </w:tcBorders>
            <w:vAlign w:val="center"/>
          </w:tcPr>
          <w:p w14:paraId="4F134462">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single" w:color="auto" w:sz="4" w:space="0"/>
            </w:tcBorders>
            <w:vAlign w:val="center"/>
          </w:tcPr>
          <w:p w14:paraId="67F28A85">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r>
      <w:tr w14:paraId="17FC79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420" w:hRule="atLeast"/>
        </w:trPr>
        <w:tc>
          <w:tcPr>
            <w:tcW w:w="390" w:type="dxa"/>
            <w:vMerge w:val="restart"/>
            <w:tcBorders>
              <w:bottom w:val="nil"/>
            </w:tcBorders>
            <w:vAlign w:val="center"/>
          </w:tcPr>
          <w:p w14:paraId="24F3D4FE">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35</w:t>
            </w:r>
          </w:p>
        </w:tc>
        <w:tc>
          <w:tcPr>
            <w:tcW w:w="885" w:type="dxa"/>
            <w:vMerge w:val="continue"/>
            <w:vAlign w:val="center"/>
          </w:tcPr>
          <w:p w14:paraId="1B1A8613">
            <w:pPr>
              <w:pStyle w:val="11"/>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432" w:type="dxa"/>
            <w:vMerge w:val="restart"/>
            <w:tcBorders>
              <w:top w:val="single" w:color="000000" w:sz="4" w:space="0"/>
              <w:right w:val="single" w:color="auto" w:sz="4" w:space="0"/>
            </w:tcBorders>
            <w:vAlign w:val="center"/>
          </w:tcPr>
          <w:p w14:paraId="0536ABB8">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强化工地扬尘管控</w:t>
            </w:r>
          </w:p>
        </w:tc>
        <w:tc>
          <w:tcPr>
            <w:tcW w:w="2542" w:type="dxa"/>
            <w:vMerge w:val="restart"/>
            <w:tcBorders>
              <w:top w:val="single" w:color="auto" w:sz="4" w:space="0"/>
              <w:left w:val="single" w:color="auto" w:sz="4" w:space="0"/>
              <w:bottom w:val="single" w:color="auto" w:sz="4" w:space="0"/>
              <w:right w:val="single" w:color="auto" w:sz="4" w:space="0"/>
            </w:tcBorders>
            <w:vAlign w:val="center"/>
          </w:tcPr>
          <w:p w14:paraId="6B4968C6">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施工项目扬尘精细化管控。实施A、B、C级差异化管理，全区各行业B级及以上标准工地占比不低于70%，重点区域3公里范围内所有工地应达到A级标准，不达标准的及时降级处理，区级行业主管部门实行驻场监管，整改完成并经审核达到A类标准后方可进行涉扬尘排放作业。</w:t>
            </w:r>
          </w:p>
        </w:tc>
        <w:tc>
          <w:tcPr>
            <w:tcW w:w="3788" w:type="dxa"/>
            <w:tcBorders>
              <w:top w:val="single" w:color="auto" w:sz="4" w:space="0"/>
              <w:left w:val="single" w:color="auto" w:sz="4" w:space="0"/>
              <w:bottom w:val="single" w:color="auto" w:sz="4" w:space="0"/>
              <w:right w:val="single" w:color="auto" w:sz="4" w:space="0"/>
            </w:tcBorders>
            <w:vAlign w:val="center"/>
          </w:tcPr>
          <w:p w14:paraId="3312B62A">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全面落实《西安市建筑工程施工扬尘八个方面加严管控40条措施工作指南》要求，强化洒水抑尘，增加作业车辆和机械冲洗次数，防止带泥行驶。</w:t>
            </w:r>
          </w:p>
        </w:tc>
        <w:tc>
          <w:tcPr>
            <w:tcW w:w="1066" w:type="dxa"/>
            <w:tcBorders>
              <w:top w:val="single" w:color="auto" w:sz="4" w:space="0"/>
              <w:left w:val="single" w:color="auto" w:sz="4" w:space="0"/>
              <w:bottom w:val="single" w:color="auto" w:sz="4" w:space="0"/>
              <w:right w:val="single" w:color="auto" w:sz="4" w:space="0"/>
            </w:tcBorders>
            <w:vAlign w:val="center"/>
          </w:tcPr>
          <w:p w14:paraId="163AB557">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top w:val="single" w:color="auto" w:sz="4" w:space="0"/>
              <w:left w:val="single" w:color="auto" w:sz="4" w:space="0"/>
              <w:bottom w:val="single" w:color="auto" w:sz="4" w:space="0"/>
              <w:right w:val="single" w:color="auto" w:sz="4" w:space="0"/>
            </w:tcBorders>
            <w:vAlign w:val="center"/>
          </w:tcPr>
          <w:p w14:paraId="422A8E5D">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63BA75C9">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4B0AE91E">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64EF58E4">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tc>
        <w:tc>
          <w:tcPr>
            <w:tcW w:w="1596" w:type="dxa"/>
            <w:vMerge w:val="restart"/>
            <w:tcBorders>
              <w:top w:val="single" w:color="auto" w:sz="4" w:space="0"/>
              <w:left w:val="single" w:color="auto" w:sz="4" w:space="0"/>
              <w:bottom w:val="single" w:color="auto" w:sz="4" w:space="0"/>
              <w:right w:val="single" w:color="auto" w:sz="4" w:space="0"/>
            </w:tcBorders>
            <w:vAlign w:val="center"/>
          </w:tcPr>
          <w:p w14:paraId="534DAC39">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359" w:type="dxa"/>
            <w:vMerge w:val="restart"/>
            <w:tcBorders>
              <w:top w:val="single" w:color="auto" w:sz="4" w:space="0"/>
              <w:left w:val="single" w:color="auto" w:sz="4" w:space="0"/>
              <w:bottom w:val="single" w:color="auto" w:sz="4" w:space="0"/>
              <w:right w:val="single" w:color="auto" w:sz="4" w:space="0"/>
            </w:tcBorders>
            <w:vAlign w:val="center"/>
          </w:tcPr>
          <w:p w14:paraId="77D50545">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0482D7C5">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530D14C7">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073C61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553" w:hRule="atLeast"/>
        </w:trPr>
        <w:tc>
          <w:tcPr>
            <w:tcW w:w="390" w:type="dxa"/>
            <w:vMerge w:val="continue"/>
            <w:tcBorders>
              <w:top w:val="nil"/>
              <w:bottom w:val="nil"/>
            </w:tcBorders>
            <w:vAlign w:val="center"/>
          </w:tcPr>
          <w:p w14:paraId="7E046292">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1B53BF3C">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33202391">
            <w:pPr>
              <w:widowControl w:val="0"/>
              <w:kinsoku/>
              <w:autoSpaceDE/>
              <w:autoSpaceDN/>
              <w:spacing w:line="280" w:lineRule="exact"/>
              <w:jc w:val="both"/>
              <w:rPr>
                <w:rFonts w:ascii="Times New Roman" w:hAnsi="Times New Roman" w:cs="Times New Roman" w:eastAsiaTheme="minorEastAsia"/>
                <w:color w:val="000000" w:themeColor="text1"/>
                <w:spacing w:val="-6"/>
              </w:rPr>
            </w:pPr>
          </w:p>
        </w:tc>
        <w:tc>
          <w:tcPr>
            <w:tcW w:w="2542" w:type="dxa"/>
            <w:vMerge w:val="continue"/>
            <w:tcBorders>
              <w:top w:val="single" w:color="auto" w:sz="4" w:space="0"/>
              <w:bottom w:val="nil"/>
            </w:tcBorders>
            <w:vAlign w:val="center"/>
          </w:tcPr>
          <w:p w14:paraId="371EDD77">
            <w:pPr>
              <w:widowControl w:val="0"/>
              <w:kinsoku/>
              <w:autoSpaceDE/>
              <w:autoSpaceDN/>
              <w:spacing w:line="280" w:lineRule="exact"/>
              <w:jc w:val="both"/>
              <w:rPr>
                <w:rFonts w:ascii="Times New Roman" w:hAnsi="Times New Roman" w:cs="Times New Roman" w:eastAsiaTheme="minorEastAsia"/>
                <w:color w:val="000000" w:themeColor="text1"/>
                <w:spacing w:val="-6"/>
              </w:rPr>
            </w:pPr>
          </w:p>
        </w:tc>
        <w:tc>
          <w:tcPr>
            <w:tcW w:w="3788" w:type="dxa"/>
            <w:tcBorders>
              <w:top w:val="single" w:color="auto" w:sz="4" w:space="0"/>
            </w:tcBorders>
            <w:vAlign w:val="center"/>
          </w:tcPr>
          <w:p w14:paraId="6D955552">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全区施工工地实施A、B、C级差异化管理，重点区域3公里范围内所有工地应达到A级标准、按季度对评级结果动态更新。</w:t>
            </w:r>
          </w:p>
        </w:tc>
        <w:tc>
          <w:tcPr>
            <w:tcW w:w="1066" w:type="dxa"/>
            <w:tcBorders>
              <w:top w:val="single" w:color="auto" w:sz="4" w:space="0"/>
            </w:tcBorders>
            <w:vAlign w:val="center"/>
          </w:tcPr>
          <w:p w14:paraId="43F54AAE">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single" w:color="auto" w:sz="4" w:space="0"/>
              <w:bottom w:val="nil"/>
            </w:tcBorders>
            <w:vAlign w:val="center"/>
          </w:tcPr>
          <w:p w14:paraId="2B63F91B">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596" w:type="dxa"/>
            <w:vMerge w:val="continue"/>
            <w:tcBorders>
              <w:top w:val="single" w:color="auto" w:sz="4" w:space="0"/>
              <w:bottom w:val="nil"/>
            </w:tcBorders>
            <w:vAlign w:val="center"/>
          </w:tcPr>
          <w:p w14:paraId="6F91DA2C">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359" w:type="dxa"/>
            <w:vMerge w:val="continue"/>
            <w:tcBorders>
              <w:top w:val="single" w:color="auto" w:sz="4" w:space="0"/>
              <w:bottom w:val="nil"/>
            </w:tcBorders>
            <w:vAlign w:val="center"/>
          </w:tcPr>
          <w:p w14:paraId="095E4277">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r>
      <w:tr w14:paraId="4008DC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881" w:hRule="atLeast"/>
        </w:trPr>
        <w:tc>
          <w:tcPr>
            <w:tcW w:w="390" w:type="dxa"/>
            <w:vMerge w:val="continue"/>
            <w:tcBorders>
              <w:top w:val="nil"/>
              <w:bottom w:val="nil"/>
            </w:tcBorders>
            <w:vAlign w:val="center"/>
          </w:tcPr>
          <w:p w14:paraId="2AC6305B">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4E63309B">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2CDF05AE">
            <w:pPr>
              <w:widowControl w:val="0"/>
              <w:kinsoku/>
              <w:autoSpaceDE/>
              <w:autoSpaceDN/>
              <w:spacing w:line="28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nil"/>
            </w:tcBorders>
            <w:vAlign w:val="center"/>
          </w:tcPr>
          <w:p w14:paraId="718AED45">
            <w:pPr>
              <w:widowControl w:val="0"/>
              <w:kinsoku/>
              <w:autoSpaceDE/>
              <w:autoSpaceDN/>
              <w:spacing w:line="280" w:lineRule="exact"/>
              <w:jc w:val="both"/>
              <w:rPr>
                <w:rFonts w:ascii="Times New Roman" w:hAnsi="Times New Roman" w:cs="Times New Roman" w:eastAsiaTheme="minorEastAsia"/>
                <w:color w:val="000000" w:themeColor="text1"/>
                <w:spacing w:val="-6"/>
              </w:rPr>
            </w:pPr>
          </w:p>
        </w:tc>
        <w:tc>
          <w:tcPr>
            <w:tcW w:w="3788" w:type="dxa"/>
            <w:vAlign w:val="center"/>
          </w:tcPr>
          <w:p w14:paraId="307825EC">
            <w:pPr>
              <w:pStyle w:val="11"/>
              <w:widowControl w:val="0"/>
              <w:kinsoku/>
              <w:autoSpaceDE/>
              <w:autoSpaceDN/>
              <w:spacing w:line="28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加强扬尘管控日常督导检查，对发现的问题组织相关辖区进行整改。重点区域3公里范围内达不到A级的工地，不达标准的及时降级处理。加强督导，辖区行业主管部门驻场监督整改。</w:t>
            </w:r>
          </w:p>
        </w:tc>
        <w:tc>
          <w:tcPr>
            <w:tcW w:w="1066" w:type="dxa"/>
            <w:vAlign w:val="center"/>
          </w:tcPr>
          <w:p w14:paraId="2481E97C">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476A1FC8">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0FEC04AF">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53AB9046">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r>
      <w:tr w14:paraId="145B6D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411" w:hRule="atLeast"/>
        </w:trPr>
        <w:tc>
          <w:tcPr>
            <w:tcW w:w="390" w:type="dxa"/>
            <w:vMerge w:val="continue"/>
            <w:tcBorders>
              <w:top w:val="nil"/>
              <w:bottom w:val="nil"/>
            </w:tcBorders>
            <w:vAlign w:val="center"/>
          </w:tcPr>
          <w:p w14:paraId="622EA995">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47D4CEE4">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5D178BA5">
            <w:pPr>
              <w:widowControl w:val="0"/>
              <w:kinsoku/>
              <w:autoSpaceDE/>
              <w:autoSpaceDN/>
              <w:spacing w:line="28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nil"/>
            </w:tcBorders>
            <w:vAlign w:val="center"/>
          </w:tcPr>
          <w:p w14:paraId="66CBA532">
            <w:pPr>
              <w:widowControl w:val="0"/>
              <w:kinsoku/>
              <w:autoSpaceDE/>
              <w:autoSpaceDN/>
              <w:spacing w:line="280" w:lineRule="exact"/>
              <w:jc w:val="both"/>
              <w:rPr>
                <w:rFonts w:ascii="Times New Roman" w:hAnsi="Times New Roman" w:cs="Times New Roman" w:eastAsiaTheme="minorEastAsia"/>
                <w:color w:val="000000" w:themeColor="text1"/>
                <w:spacing w:val="-6"/>
              </w:rPr>
            </w:pPr>
          </w:p>
        </w:tc>
        <w:tc>
          <w:tcPr>
            <w:tcW w:w="3788" w:type="dxa"/>
            <w:vAlign w:val="center"/>
          </w:tcPr>
          <w:p w14:paraId="0C3C3ED6">
            <w:pPr>
              <w:pStyle w:val="11"/>
              <w:widowControl w:val="0"/>
              <w:kinsoku/>
              <w:autoSpaceDE/>
              <w:autoSpaceDN/>
              <w:spacing w:line="28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将扬尘管理工作不到位的不良信息移交区住建局纳入建筑市场信用管理体系，情节严重的实行信用惩戒。</w:t>
            </w:r>
          </w:p>
        </w:tc>
        <w:tc>
          <w:tcPr>
            <w:tcW w:w="1066" w:type="dxa"/>
            <w:vAlign w:val="center"/>
          </w:tcPr>
          <w:p w14:paraId="574814EB">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6F3413B2">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791FDB86">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101E5ADC">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r>
      <w:tr w14:paraId="296790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410" w:hRule="atLeast"/>
        </w:trPr>
        <w:tc>
          <w:tcPr>
            <w:tcW w:w="390" w:type="dxa"/>
            <w:vMerge w:val="continue"/>
            <w:tcBorders>
              <w:top w:val="nil"/>
            </w:tcBorders>
            <w:vAlign w:val="center"/>
          </w:tcPr>
          <w:p w14:paraId="623F2D77">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bottom w:val="single" w:color="auto" w:sz="4" w:space="0"/>
            </w:tcBorders>
            <w:vAlign w:val="center"/>
          </w:tcPr>
          <w:p w14:paraId="484CD70B">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432" w:type="dxa"/>
            <w:vMerge w:val="continue"/>
            <w:tcBorders>
              <w:bottom w:val="single" w:color="auto" w:sz="4" w:space="0"/>
            </w:tcBorders>
            <w:vAlign w:val="center"/>
          </w:tcPr>
          <w:p w14:paraId="3A35B1E6">
            <w:pPr>
              <w:widowControl w:val="0"/>
              <w:kinsoku/>
              <w:autoSpaceDE/>
              <w:autoSpaceDN/>
              <w:spacing w:line="28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240AAB1B">
            <w:pPr>
              <w:widowControl w:val="0"/>
              <w:kinsoku/>
              <w:autoSpaceDE/>
              <w:autoSpaceDN/>
              <w:spacing w:line="280" w:lineRule="exact"/>
              <w:jc w:val="both"/>
              <w:rPr>
                <w:rFonts w:ascii="Times New Roman" w:hAnsi="Times New Roman" w:cs="Times New Roman" w:eastAsiaTheme="minorEastAsia"/>
                <w:color w:val="000000" w:themeColor="text1"/>
                <w:spacing w:val="-6"/>
              </w:rPr>
            </w:pPr>
          </w:p>
        </w:tc>
        <w:tc>
          <w:tcPr>
            <w:tcW w:w="3788" w:type="dxa"/>
            <w:vAlign w:val="center"/>
          </w:tcPr>
          <w:p w14:paraId="572C8D0F">
            <w:pPr>
              <w:pStyle w:val="11"/>
              <w:widowControl w:val="0"/>
              <w:kinsoku/>
              <w:autoSpaceDE/>
              <w:autoSpaceDN/>
              <w:spacing w:line="28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施工项目发生二级及以上扬尘告警，施工单位要及时采取降尘、洒水管控措施，同时对项目周边道路进行大冲洗。</w:t>
            </w:r>
          </w:p>
        </w:tc>
        <w:tc>
          <w:tcPr>
            <w:tcW w:w="1066" w:type="dxa"/>
            <w:vAlign w:val="center"/>
          </w:tcPr>
          <w:p w14:paraId="74B62F0B">
            <w:pPr>
              <w:pStyle w:val="11"/>
              <w:widowControl w:val="0"/>
              <w:kinsoku/>
              <w:autoSpaceDE/>
              <w:autoSpaceDN/>
              <w:spacing w:line="29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301B53D6">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7DF05A13">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167A72E9">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r>
      <w:tr w14:paraId="4C6A99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vAlign w:val="center"/>
          </w:tcPr>
          <w:p w14:paraId="6CA2346A">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36</w:t>
            </w:r>
          </w:p>
        </w:tc>
        <w:tc>
          <w:tcPr>
            <w:tcW w:w="885" w:type="dxa"/>
            <w:vMerge w:val="restart"/>
            <w:tcBorders>
              <w:top w:val="single" w:color="auto" w:sz="4" w:space="0"/>
            </w:tcBorders>
            <w:vAlign w:val="center"/>
          </w:tcPr>
          <w:p w14:paraId="679A1E36">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扬尘治理工程</w:t>
            </w:r>
          </w:p>
        </w:tc>
        <w:tc>
          <w:tcPr>
            <w:tcW w:w="1432" w:type="dxa"/>
            <w:vMerge w:val="restart"/>
            <w:tcBorders>
              <w:top w:val="single" w:color="auto" w:sz="4" w:space="0"/>
            </w:tcBorders>
            <w:vAlign w:val="center"/>
          </w:tcPr>
          <w:p w14:paraId="73FE009E">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强化工地扬尘管控</w:t>
            </w:r>
          </w:p>
        </w:tc>
        <w:tc>
          <w:tcPr>
            <w:tcW w:w="2542" w:type="dxa"/>
            <w:vMerge w:val="restart"/>
            <w:vAlign w:val="center"/>
          </w:tcPr>
          <w:p w14:paraId="47189805">
            <w:pPr>
              <w:pStyle w:val="11"/>
              <w:widowControl w:val="0"/>
              <w:kinsoku/>
              <w:autoSpaceDE/>
              <w:autoSpaceDN/>
              <w:spacing w:line="248"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进一步加强扬尘防治责任落实。建设单位和施工单位要建立健全扬尘污染防治工作责任制，制定施工、运输扬尘污染防治方案，落实扬尘污染防治措施。</w:t>
            </w:r>
          </w:p>
        </w:tc>
        <w:tc>
          <w:tcPr>
            <w:tcW w:w="3788" w:type="dxa"/>
            <w:vAlign w:val="center"/>
          </w:tcPr>
          <w:p w14:paraId="588A81C0">
            <w:pPr>
              <w:pStyle w:val="11"/>
              <w:widowControl w:val="0"/>
              <w:kinsoku/>
              <w:autoSpaceDE/>
              <w:autoSpaceDN/>
              <w:spacing w:line="28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住建、城管、交通、水务等部门每年应组织对行业内存在严重扬尘污染违法行为的单位开展扬尘污染防治专题培训班。</w:t>
            </w:r>
          </w:p>
        </w:tc>
        <w:tc>
          <w:tcPr>
            <w:tcW w:w="1066" w:type="dxa"/>
            <w:vMerge w:val="restart"/>
            <w:tcBorders>
              <w:bottom w:val="nil"/>
            </w:tcBorders>
            <w:vAlign w:val="center"/>
          </w:tcPr>
          <w:p w14:paraId="114F994C">
            <w:pPr>
              <w:pStyle w:val="11"/>
              <w:widowControl w:val="0"/>
              <w:kinsoku/>
              <w:autoSpaceDE/>
              <w:autoSpaceDN/>
              <w:spacing w:line="248"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744E2990">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0C9977A0">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02E49491">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1E066C47">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tc>
        <w:tc>
          <w:tcPr>
            <w:tcW w:w="1596" w:type="dxa"/>
            <w:vMerge w:val="restart"/>
            <w:tcBorders>
              <w:bottom w:val="nil"/>
            </w:tcBorders>
            <w:vAlign w:val="center"/>
          </w:tcPr>
          <w:p w14:paraId="7A102AE6">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Merge w:val="restart"/>
            <w:tcBorders>
              <w:bottom w:val="nil"/>
            </w:tcBorders>
            <w:vAlign w:val="center"/>
          </w:tcPr>
          <w:p w14:paraId="091316EF">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62CCB4AE">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6435ADD7">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8A664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vAlign w:val="center"/>
          </w:tcPr>
          <w:p w14:paraId="62A12F61">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0D9BE363">
            <w:pPr>
              <w:pStyle w:val="11"/>
              <w:widowControl w:val="0"/>
              <w:kinsoku/>
              <w:autoSpaceDE/>
              <w:autoSpaceDN/>
              <w:spacing w:line="29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4692A07F">
            <w:pPr>
              <w:pStyle w:val="11"/>
              <w:widowControl w:val="0"/>
              <w:kinsoku/>
              <w:autoSpaceDE/>
              <w:autoSpaceDN/>
              <w:spacing w:line="29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753ED859">
            <w:pPr>
              <w:widowControl w:val="0"/>
              <w:kinsoku/>
              <w:autoSpaceDE/>
              <w:autoSpaceDN/>
              <w:spacing w:line="290" w:lineRule="exact"/>
              <w:jc w:val="both"/>
              <w:rPr>
                <w:rFonts w:ascii="Times New Roman" w:hAnsi="Times New Roman" w:cs="Times New Roman" w:eastAsiaTheme="minorEastAsia"/>
                <w:color w:val="000000" w:themeColor="text1"/>
                <w:spacing w:val="-6"/>
              </w:rPr>
            </w:pPr>
          </w:p>
        </w:tc>
        <w:tc>
          <w:tcPr>
            <w:tcW w:w="3788" w:type="dxa"/>
            <w:vAlign w:val="center"/>
          </w:tcPr>
          <w:p w14:paraId="10A6D7C3">
            <w:pPr>
              <w:pStyle w:val="11"/>
              <w:widowControl w:val="0"/>
              <w:kinsoku/>
              <w:autoSpaceDE/>
              <w:autoSpaceDN/>
              <w:spacing w:line="28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在当月被市级部门督导检查发现扬尘污染问题2次及以上的或被降级的项目工地、标段（分部），对建设单位和施工单位负责人进行集中培训。</w:t>
            </w:r>
          </w:p>
        </w:tc>
        <w:tc>
          <w:tcPr>
            <w:tcW w:w="1066" w:type="dxa"/>
            <w:vMerge w:val="continue"/>
            <w:tcBorders>
              <w:top w:val="nil"/>
            </w:tcBorders>
            <w:vAlign w:val="center"/>
          </w:tcPr>
          <w:p w14:paraId="7C898820">
            <w:pPr>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p>
        </w:tc>
        <w:tc>
          <w:tcPr>
            <w:tcW w:w="1484" w:type="dxa"/>
            <w:vMerge w:val="continue"/>
            <w:tcBorders>
              <w:top w:val="nil"/>
            </w:tcBorders>
            <w:vAlign w:val="center"/>
          </w:tcPr>
          <w:p w14:paraId="34CA15EA">
            <w:pPr>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p>
        </w:tc>
        <w:tc>
          <w:tcPr>
            <w:tcW w:w="1596" w:type="dxa"/>
            <w:vMerge w:val="continue"/>
            <w:tcBorders>
              <w:top w:val="nil"/>
            </w:tcBorders>
            <w:vAlign w:val="center"/>
          </w:tcPr>
          <w:p w14:paraId="7919B686">
            <w:pPr>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p>
        </w:tc>
        <w:tc>
          <w:tcPr>
            <w:tcW w:w="1359" w:type="dxa"/>
            <w:vMerge w:val="continue"/>
            <w:tcBorders>
              <w:top w:val="nil"/>
            </w:tcBorders>
            <w:vAlign w:val="center"/>
          </w:tcPr>
          <w:p w14:paraId="0929F099">
            <w:pPr>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p>
        </w:tc>
      </w:tr>
      <w:tr w14:paraId="4B2D67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vAlign w:val="center"/>
          </w:tcPr>
          <w:p w14:paraId="238608DB">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5C302F4D">
            <w:pPr>
              <w:widowControl w:val="0"/>
              <w:kinsoku/>
              <w:autoSpaceDE/>
              <w:autoSpaceDN/>
              <w:spacing w:line="290" w:lineRule="exact"/>
              <w:jc w:val="center"/>
              <w:rPr>
                <w:rFonts w:ascii="Times New Roman" w:hAnsi="Times New Roman" w:cs="Times New Roman" w:eastAsiaTheme="minorEastAsia"/>
                <w:color w:val="000000" w:themeColor="text1"/>
                <w:spacing w:val="-6"/>
                <w:lang w:eastAsia="zh-CN"/>
              </w:rPr>
            </w:pPr>
          </w:p>
        </w:tc>
        <w:tc>
          <w:tcPr>
            <w:tcW w:w="1432" w:type="dxa"/>
            <w:vMerge w:val="continue"/>
            <w:vAlign w:val="center"/>
          </w:tcPr>
          <w:p w14:paraId="49F35AA9">
            <w:pPr>
              <w:widowControl w:val="0"/>
              <w:kinsoku/>
              <w:autoSpaceDE/>
              <w:autoSpaceDN/>
              <w:spacing w:line="290" w:lineRule="exact"/>
              <w:jc w:val="both"/>
              <w:rPr>
                <w:rFonts w:ascii="Times New Roman" w:hAnsi="Times New Roman" w:cs="Times New Roman" w:eastAsiaTheme="minorEastAsia"/>
                <w:color w:val="000000" w:themeColor="text1"/>
                <w:spacing w:val="-6"/>
                <w:lang w:eastAsia="zh-CN"/>
              </w:rPr>
            </w:pPr>
          </w:p>
        </w:tc>
        <w:tc>
          <w:tcPr>
            <w:tcW w:w="2542" w:type="dxa"/>
            <w:vMerge w:val="continue"/>
            <w:vAlign w:val="center"/>
          </w:tcPr>
          <w:p w14:paraId="008D9290">
            <w:pPr>
              <w:widowControl w:val="0"/>
              <w:kinsoku/>
              <w:autoSpaceDE/>
              <w:autoSpaceDN/>
              <w:spacing w:line="29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14592DBC">
            <w:pPr>
              <w:pStyle w:val="11"/>
              <w:widowControl w:val="0"/>
              <w:kinsoku/>
              <w:autoSpaceDE/>
              <w:autoSpaceDN/>
              <w:spacing w:line="28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楼体施工时，外侧门窗洞口实现全密闭化作业。</w:t>
            </w:r>
          </w:p>
        </w:tc>
        <w:tc>
          <w:tcPr>
            <w:tcW w:w="1066" w:type="dxa"/>
            <w:vAlign w:val="center"/>
          </w:tcPr>
          <w:p w14:paraId="46E29F19">
            <w:pPr>
              <w:pStyle w:val="11"/>
              <w:widowControl w:val="0"/>
              <w:kinsoku/>
              <w:autoSpaceDE/>
              <w:autoSpaceDN/>
              <w:spacing w:line="248"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1EB23604">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tc>
        <w:tc>
          <w:tcPr>
            <w:tcW w:w="1596" w:type="dxa"/>
            <w:vAlign w:val="center"/>
          </w:tcPr>
          <w:p w14:paraId="6518C92C">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5E698212">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21915F3C">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5760CF6B">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3736C7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245" w:hRule="atLeast"/>
        </w:trPr>
        <w:tc>
          <w:tcPr>
            <w:tcW w:w="390" w:type="dxa"/>
            <w:vMerge w:val="continue"/>
            <w:vAlign w:val="center"/>
          </w:tcPr>
          <w:p w14:paraId="51CD8880">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bottom w:val="single" w:color="auto" w:sz="4" w:space="0"/>
            </w:tcBorders>
            <w:vAlign w:val="center"/>
          </w:tcPr>
          <w:p w14:paraId="03757B28">
            <w:pPr>
              <w:pStyle w:val="11"/>
              <w:widowControl w:val="0"/>
              <w:kinsoku/>
              <w:autoSpaceDE/>
              <w:autoSpaceDN/>
              <w:spacing w:line="290" w:lineRule="exact"/>
              <w:jc w:val="center"/>
              <w:rPr>
                <w:rFonts w:ascii="Times New Roman" w:hAnsi="Times New Roman" w:cs="Times New Roman" w:eastAsiaTheme="minorEastAsia"/>
                <w:color w:val="000000" w:themeColor="text1"/>
                <w:spacing w:val="-6"/>
              </w:rPr>
            </w:pPr>
          </w:p>
        </w:tc>
        <w:tc>
          <w:tcPr>
            <w:tcW w:w="1432" w:type="dxa"/>
            <w:vMerge w:val="continue"/>
            <w:tcBorders>
              <w:bottom w:val="single" w:color="auto" w:sz="4" w:space="0"/>
            </w:tcBorders>
            <w:vAlign w:val="center"/>
          </w:tcPr>
          <w:p w14:paraId="2249FA4D">
            <w:pPr>
              <w:pStyle w:val="11"/>
              <w:widowControl w:val="0"/>
              <w:kinsoku/>
              <w:autoSpaceDE/>
              <w:autoSpaceDN/>
              <w:spacing w:line="29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495D7DC0">
            <w:pPr>
              <w:widowControl w:val="0"/>
              <w:kinsoku/>
              <w:autoSpaceDE/>
              <w:autoSpaceDN/>
              <w:spacing w:line="290" w:lineRule="exact"/>
              <w:jc w:val="both"/>
              <w:rPr>
                <w:rFonts w:ascii="Times New Roman" w:hAnsi="Times New Roman" w:cs="Times New Roman" w:eastAsiaTheme="minorEastAsia"/>
                <w:color w:val="000000" w:themeColor="text1"/>
                <w:spacing w:val="-6"/>
              </w:rPr>
            </w:pPr>
          </w:p>
        </w:tc>
        <w:tc>
          <w:tcPr>
            <w:tcW w:w="3788" w:type="dxa"/>
            <w:vAlign w:val="center"/>
          </w:tcPr>
          <w:p w14:paraId="659CB8D2">
            <w:pPr>
              <w:pStyle w:val="11"/>
              <w:widowControl w:val="0"/>
              <w:kinsoku/>
              <w:autoSpaceDE/>
              <w:autoSpaceDN/>
              <w:spacing w:line="28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加强公路、铁路、轨道交通等线性施工工程扬尘管控，强化属地管理，责任落实。具备条件的线性工程试点开展分段全密闭施工。</w:t>
            </w:r>
          </w:p>
        </w:tc>
        <w:tc>
          <w:tcPr>
            <w:tcW w:w="1066" w:type="dxa"/>
            <w:vAlign w:val="center"/>
          </w:tcPr>
          <w:p w14:paraId="2CDC4DEA">
            <w:pPr>
              <w:pStyle w:val="11"/>
              <w:widowControl w:val="0"/>
              <w:kinsoku/>
              <w:autoSpaceDE/>
              <w:autoSpaceDN/>
              <w:spacing w:line="248"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4DD55F78">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30F9F783">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tc>
        <w:tc>
          <w:tcPr>
            <w:tcW w:w="1596" w:type="dxa"/>
            <w:vAlign w:val="center"/>
          </w:tcPr>
          <w:p w14:paraId="20E92A69">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04C477E0">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711335D5">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346FFB48">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10EBF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956" w:hRule="atLeast"/>
        </w:trPr>
        <w:tc>
          <w:tcPr>
            <w:tcW w:w="390" w:type="dxa"/>
            <w:vMerge w:val="restart"/>
            <w:vAlign w:val="center"/>
          </w:tcPr>
          <w:p w14:paraId="70222FA3">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37</w:t>
            </w:r>
          </w:p>
        </w:tc>
        <w:tc>
          <w:tcPr>
            <w:tcW w:w="885" w:type="dxa"/>
            <w:vMerge w:val="restart"/>
            <w:tcBorders>
              <w:top w:val="single" w:color="auto" w:sz="4" w:space="0"/>
            </w:tcBorders>
            <w:vAlign w:val="center"/>
          </w:tcPr>
          <w:p w14:paraId="0ABB1500">
            <w:pPr>
              <w:pStyle w:val="11"/>
              <w:widowControl w:val="0"/>
              <w:kinsoku/>
              <w:autoSpaceDE/>
              <w:autoSpaceDN/>
              <w:spacing w:line="29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扬尘治理工程</w:t>
            </w:r>
          </w:p>
        </w:tc>
        <w:tc>
          <w:tcPr>
            <w:tcW w:w="1432" w:type="dxa"/>
            <w:vMerge w:val="restart"/>
            <w:tcBorders>
              <w:top w:val="single" w:color="auto" w:sz="4" w:space="0"/>
            </w:tcBorders>
            <w:vAlign w:val="center"/>
          </w:tcPr>
          <w:p w14:paraId="69D9D2C0">
            <w:pPr>
              <w:pStyle w:val="11"/>
              <w:widowControl w:val="0"/>
              <w:kinsoku/>
              <w:autoSpaceDE/>
              <w:autoSpaceDN/>
              <w:spacing w:line="280" w:lineRule="exact"/>
              <w:jc w:val="both"/>
              <w:rPr>
                <w:rFonts w:ascii="Times New Roman" w:hAnsi="Times New Roman" w:cs="Times New Roman" w:eastAsiaTheme="minorEastAsia"/>
                <w:color w:val="000000" w:themeColor="text1"/>
                <w:spacing w:val="-6"/>
              </w:rPr>
            </w:pPr>
            <w:r>
              <w:rPr>
                <w:rFonts w:ascii="Times New Roman" w:hAnsi="Times New Roman" w:cs="Times New Roman"/>
              </w:rPr>
              <w:t>强化工地扬尘管控</w:t>
            </w:r>
          </w:p>
        </w:tc>
        <w:tc>
          <w:tcPr>
            <w:tcW w:w="2542" w:type="dxa"/>
            <w:vMerge w:val="restart"/>
            <w:vAlign w:val="center"/>
          </w:tcPr>
          <w:p w14:paraId="39B0E9A9">
            <w:pPr>
              <w:pStyle w:val="11"/>
              <w:widowControl w:val="0"/>
              <w:kinsoku/>
              <w:autoSpaceDE/>
              <w:autoSpaceDN/>
              <w:spacing w:line="248"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持续强化施工工地扬尘监测信息化管控，加大惩处力度。</w:t>
            </w:r>
          </w:p>
        </w:tc>
        <w:tc>
          <w:tcPr>
            <w:tcW w:w="3788" w:type="dxa"/>
            <w:vAlign w:val="center"/>
          </w:tcPr>
          <w:p w14:paraId="40CBC3B2">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以降低PM</w:t>
            </w:r>
            <w:r>
              <w:rPr>
                <w:rFonts w:ascii="Times New Roman" w:hAnsi="Times New Roman" w:cs="Times New Roman" w:eastAsiaTheme="minorEastAsia"/>
                <w:color w:val="000000" w:themeColor="text1"/>
                <w:spacing w:val="-6"/>
                <w:vertAlign w:val="subscript"/>
                <w:lang w:eastAsia="zh-CN"/>
              </w:rPr>
              <w:t>10</w:t>
            </w:r>
            <w:r>
              <w:rPr>
                <w:rFonts w:ascii="Times New Roman" w:hAnsi="Times New Roman" w:cs="Times New Roman" w:eastAsiaTheme="minorEastAsia"/>
                <w:color w:val="000000" w:themeColor="text1"/>
                <w:spacing w:val="-6"/>
                <w:lang w:eastAsia="zh-CN"/>
              </w:rPr>
              <w:t>指标为导向建立动态管控机制，施工工地扬尘排放超过《施工扬尘排放限值》（DB61/1078-2017）的立即停工整改。除沙尘天气影响外，PM</w:t>
            </w:r>
            <w:r>
              <w:rPr>
                <w:rFonts w:ascii="Times New Roman" w:hAnsi="Times New Roman" w:cs="Times New Roman" w:eastAsiaTheme="minorEastAsia"/>
                <w:color w:val="000000" w:themeColor="text1"/>
                <w:spacing w:val="-6"/>
                <w:vertAlign w:val="subscript"/>
                <w:lang w:eastAsia="zh-CN"/>
              </w:rPr>
              <w:t>10</w:t>
            </w:r>
            <w:r>
              <w:rPr>
                <w:rFonts w:ascii="Times New Roman" w:hAnsi="Times New Roman" w:cs="Times New Roman" w:eastAsiaTheme="minorEastAsia"/>
                <w:color w:val="000000" w:themeColor="text1"/>
                <w:spacing w:val="-6"/>
                <w:lang w:eastAsia="zh-CN"/>
              </w:rPr>
              <w:t>小时浓度连续3小时超过150微克/立方米时，暂停超过环境质量监测值2.5倍以上的施工工地作业。</w:t>
            </w:r>
          </w:p>
        </w:tc>
        <w:tc>
          <w:tcPr>
            <w:tcW w:w="1066" w:type="dxa"/>
            <w:vAlign w:val="center"/>
          </w:tcPr>
          <w:p w14:paraId="3E80EDC5">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tcBorders>
              <w:bottom w:val="single" w:color="000000" w:sz="4" w:space="0"/>
            </w:tcBorders>
            <w:vAlign w:val="center"/>
          </w:tcPr>
          <w:p w14:paraId="34603D58">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tcBorders>
              <w:bottom w:val="single" w:color="000000" w:sz="4" w:space="0"/>
            </w:tcBorders>
            <w:vAlign w:val="center"/>
          </w:tcPr>
          <w:p w14:paraId="6814AD24">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7567D6FE">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27F7FDF8">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6131D65D">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p w14:paraId="37C91999">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p>
        </w:tc>
        <w:tc>
          <w:tcPr>
            <w:tcW w:w="1359" w:type="dxa"/>
            <w:tcBorders>
              <w:bottom w:val="single" w:color="000000" w:sz="4" w:space="0"/>
            </w:tcBorders>
            <w:vAlign w:val="center"/>
          </w:tcPr>
          <w:p w14:paraId="42F3F5B1">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5BF43B62">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60A4772F">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0E6FC7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725" w:hRule="atLeast"/>
        </w:trPr>
        <w:tc>
          <w:tcPr>
            <w:tcW w:w="390" w:type="dxa"/>
            <w:vMerge w:val="continue"/>
            <w:vAlign w:val="center"/>
          </w:tcPr>
          <w:p w14:paraId="1588CD8A">
            <w:pPr>
              <w:jc w:val="center"/>
              <w:textAlignment w:val="center"/>
              <w:rPr>
                <w:rFonts w:ascii="Times New Roman" w:hAnsi="Times New Roman" w:cs="Times New Roman" w:eastAsiaTheme="minorEastAsia"/>
                <w:color w:val="000000" w:themeColor="text1"/>
                <w:spacing w:val="-6"/>
              </w:rPr>
            </w:pPr>
          </w:p>
        </w:tc>
        <w:tc>
          <w:tcPr>
            <w:tcW w:w="885" w:type="dxa"/>
            <w:vMerge w:val="continue"/>
            <w:vAlign w:val="center"/>
          </w:tcPr>
          <w:p w14:paraId="45CB08EE">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0F513671">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shd w:val="clear" w:color="auto" w:fill="auto"/>
            <w:vAlign w:val="center"/>
          </w:tcPr>
          <w:p w14:paraId="1482EDD8">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3788" w:type="dxa"/>
            <w:vAlign w:val="center"/>
          </w:tcPr>
          <w:p w14:paraId="01011A09">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依托扬尘在线监测系统，每天对前一日核准的二级及以上扬尘告警项目（含两类企业），配合由市级行业牵头部门组织市区两级联合检查组，进行督导检查。对仍未落实《西安市建筑工程施工扬尘八个方面加严管控40条措施工作指南》实施停工（停产）整改。整改完成后经属地行业主管部门验收后方可复工复产。</w:t>
            </w:r>
          </w:p>
        </w:tc>
        <w:tc>
          <w:tcPr>
            <w:tcW w:w="1066" w:type="dxa"/>
            <w:vAlign w:val="center"/>
          </w:tcPr>
          <w:p w14:paraId="25621E7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tcBorders>
              <w:top w:val="single" w:color="000000" w:sz="4" w:space="0"/>
            </w:tcBorders>
            <w:shd w:val="clear" w:color="auto" w:fill="auto"/>
            <w:vAlign w:val="center"/>
          </w:tcPr>
          <w:p w14:paraId="68FE007D">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tcBorders>
              <w:top w:val="single" w:color="000000" w:sz="4" w:space="0"/>
            </w:tcBorders>
            <w:shd w:val="clear" w:color="auto" w:fill="auto"/>
            <w:vAlign w:val="center"/>
          </w:tcPr>
          <w:p w14:paraId="6D57E0D7">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45CDDE0F">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2BE8A047">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6C7325BB">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p w14:paraId="5734AF71">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p>
        </w:tc>
        <w:tc>
          <w:tcPr>
            <w:tcW w:w="1359" w:type="dxa"/>
            <w:tcBorders>
              <w:top w:val="single" w:color="000000" w:sz="4" w:space="0"/>
            </w:tcBorders>
            <w:shd w:val="clear" w:color="auto" w:fill="auto"/>
            <w:vAlign w:val="center"/>
          </w:tcPr>
          <w:p w14:paraId="3833FA6A">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34ACA5F1">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448A474F">
            <w:pPr>
              <w:pStyle w:val="11"/>
              <w:widowControl w:val="0"/>
              <w:kinsoku/>
              <w:autoSpaceDE/>
              <w:autoSpaceDN/>
              <w:spacing w:line="248"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70E7B1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vAlign w:val="center"/>
          </w:tcPr>
          <w:p w14:paraId="6FF58A93">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0E5EB3AB">
            <w:pPr>
              <w:pStyle w:val="11"/>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432" w:type="dxa"/>
            <w:vMerge w:val="continue"/>
            <w:tcBorders>
              <w:bottom w:val="single" w:color="auto" w:sz="4" w:space="0"/>
            </w:tcBorders>
            <w:vAlign w:val="center"/>
          </w:tcPr>
          <w:p w14:paraId="31267CD8">
            <w:pPr>
              <w:pStyle w:val="11"/>
              <w:widowControl w:val="0"/>
              <w:kinsoku/>
              <w:autoSpaceDE/>
              <w:autoSpaceDN/>
              <w:spacing w:line="280" w:lineRule="exact"/>
              <w:jc w:val="both"/>
              <w:rPr>
                <w:rFonts w:ascii="Times New Roman" w:hAnsi="Times New Roman" w:cs="Times New Roman" w:eastAsiaTheme="minorEastAsia"/>
                <w:color w:val="000000" w:themeColor="text1"/>
                <w:spacing w:val="-6"/>
              </w:rPr>
            </w:pPr>
          </w:p>
        </w:tc>
        <w:tc>
          <w:tcPr>
            <w:tcW w:w="2542" w:type="dxa"/>
            <w:vMerge w:val="continue"/>
            <w:tcBorders>
              <w:bottom w:val="single" w:color="000000" w:sz="4" w:space="0"/>
            </w:tcBorders>
            <w:vAlign w:val="center"/>
          </w:tcPr>
          <w:p w14:paraId="72F811C2">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3788" w:type="dxa"/>
            <w:vAlign w:val="center"/>
          </w:tcPr>
          <w:p w14:paraId="569C9BA3">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依据西安市大气污染联合暗访督查工作要求，配合市上核准的二级及以上工地扬尘报警问题作为暗访督查发现问题。</w:t>
            </w:r>
          </w:p>
        </w:tc>
        <w:tc>
          <w:tcPr>
            <w:tcW w:w="1066" w:type="dxa"/>
            <w:vAlign w:val="center"/>
          </w:tcPr>
          <w:p w14:paraId="5F3E347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1D25CD57">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Align w:val="center"/>
          </w:tcPr>
          <w:p w14:paraId="678C488A">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1F7A0DAB">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121B9001">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79CA0E26">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tc>
        <w:tc>
          <w:tcPr>
            <w:tcW w:w="1359" w:type="dxa"/>
            <w:vAlign w:val="center"/>
          </w:tcPr>
          <w:p w14:paraId="584928F8">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21E9C0F5">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0A3A2980">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44DE5E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3DDF83FD">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38</w:t>
            </w:r>
          </w:p>
        </w:tc>
        <w:tc>
          <w:tcPr>
            <w:tcW w:w="885" w:type="dxa"/>
            <w:vMerge w:val="continue"/>
            <w:vAlign w:val="center"/>
          </w:tcPr>
          <w:p w14:paraId="237D4C3A">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restart"/>
            <w:tcBorders>
              <w:top w:val="single" w:color="auto" w:sz="4" w:space="0"/>
            </w:tcBorders>
            <w:vAlign w:val="center"/>
          </w:tcPr>
          <w:p w14:paraId="5F90FA59">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加强物料堆场扬尘管控</w:t>
            </w:r>
          </w:p>
        </w:tc>
        <w:tc>
          <w:tcPr>
            <w:tcW w:w="2542" w:type="dxa"/>
            <w:vMerge w:val="restart"/>
            <w:tcBorders>
              <w:top w:val="single" w:color="000000" w:sz="4" w:space="0"/>
              <w:bottom w:val="single" w:color="000000" w:sz="4" w:space="0"/>
            </w:tcBorders>
            <w:vAlign w:val="center"/>
          </w:tcPr>
          <w:p w14:paraId="0F74A7F5">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加强铸造、铁合金、水泥、砖瓦、石灰、耐火材料、有色金属冶炼等行业物料堆场扬尘管控执法检查，督促责任单位问题整改。</w:t>
            </w:r>
          </w:p>
        </w:tc>
        <w:tc>
          <w:tcPr>
            <w:tcW w:w="3788" w:type="dxa"/>
            <w:vAlign w:val="center"/>
          </w:tcPr>
          <w:p w14:paraId="5F743504">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配合更新西安市物料堆场管理责任清单。</w:t>
            </w:r>
          </w:p>
        </w:tc>
        <w:tc>
          <w:tcPr>
            <w:tcW w:w="1066" w:type="dxa"/>
            <w:vAlign w:val="center"/>
          </w:tcPr>
          <w:p w14:paraId="26C7F6CA">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2025年3月底</w:t>
            </w:r>
          </w:p>
        </w:tc>
        <w:tc>
          <w:tcPr>
            <w:tcW w:w="1484" w:type="dxa"/>
            <w:vMerge w:val="restart"/>
            <w:tcBorders>
              <w:bottom w:val="nil"/>
            </w:tcBorders>
            <w:vAlign w:val="center"/>
          </w:tcPr>
          <w:p w14:paraId="73A8DF8A">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70FB3852">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3701EC06">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资源规划分局</w:t>
            </w:r>
          </w:p>
          <w:p w14:paraId="44B671F1">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tc>
        <w:tc>
          <w:tcPr>
            <w:tcW w:w="1359" w:type="dxa"/>
            <w:vMerge w:val="restart"/>
            <w:vAlign w:val="center"/>
          </w:tcPr>
          <w:p w14:paraId="4600B9A8">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6AE7BC37">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337CD82E">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6262A7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bottom w:val="nil"/>
            </w:tcBorders>
            <w:vAlign w:val="center"/>
          </w:tcPr>
          <w:p w14:paraId="66CE3980">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057D0AFA">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auto" w:sz="4" w:space="0"/>
              <w:bottom w:val="single" w:color="auto" w:sz="4" w:space="0"/>
            </w:tcBorders>
            <w:vAlign w:val="center"/>
          </w:tcPr>
          <w:p w14:paraId="5EA93692">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single" w:color="000000" w:sz="4" w:space="0"/>
              <w:bottom w:val="single" w:color="000000" w:sz="4" w:space="0"/>
            </w:tcBorders>
            <w:vAlign w:val="center"/>
          </w:tcPr>
          <w:p w14:paraId="48B0F5E5">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3788" w:type="dxa"/>
            <w:vAlign w:val="center"/>
          </w:tcPr>
          <w:p w14:paraId="197CBCD1">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每季度按照双随机制度开展执法检查，严格控制物料储存、输送及生产工艺过程无组织排放。</w:t>
            </w:r>
          </w:p>
        </w:tc>
        <w:tc>
          <w:tcPr>
            <w:tcW w:w="1066" w:type="dxa"/>
            <w:vAlign w:val="center"/>
          </w:tcPr>
          <w:p w14:paraId="64E6F2D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3B26C0B5">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2AB8797D">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359" w:type="dxa"/>
            <w:vMerge w:val="continue"/>
            <w:vAlign w:val="center"/>
          </w:tcPr>
          <w:p w14:paraId="67E71676">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r>
      <w:tr w14:paraId="0BC656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bottom w:val="nil"/>
            </w:tcBorders>
            <w:vAlign w:val="center"/>
          </w:tcPr>
          <w:p w14:paraId="68D742DB">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029F7690">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auto" w:sz="4" w:space="0"/>
              <w:bottom w:val="single" w:color="auto" w:sz="4" w:space="0"/>
            </w:tcBorders>
            <w:vAlign w:val="center"/>
          </w:tcPr>
          <w:p w14:paraId="5D9C5954">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single" w:color="000000" w:sz="4" w:space="0"/>
              <w:bottom w:val="single" w:color="000000" w:sz="4" w:space="0"/>
            </w:tcBorders>
            <w:vAlign w:val="center"/>
          </w:tcPr>
          <w:p w14:paraId="3F7C438D">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3788" w:type="dxa"/>
            <w:vAlign w:val="center"/>
          </w:tcPr>
          <w:p w14:paraId="3A85B2C3">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配合市上对粉粒类物料堆放场以及大型煤炭和矿石物料堆场，完成抑尘设施建设和物料输送系统封闭改造。</w:t>
            </w:r>
          </w:p>
        </w:tc>
        <w:tc>
          <w:tcPr>
            <w:tcW w:w="1066" w:type="dxa"/>
            <w:vAlign w:val="center"/>
          </w:tcPr>
          <w:p w14:paraId="14711686">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29F71BB2">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57FCA94A">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359" w:type="dxa"/>
            <w:vMerge w:val="continue"/>
            <w:vAlign w:val="center"/>
          </w:tcPr>
          <w:p w14:paraId="552A6E4E">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r>
      <w:tr w14:paraId="3C0BC8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32A17C36">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bottom w:val="single" w:color="auto" w:sz="4" w:space="0"/>
            </w:tcBorders>
            <w:vAlign w:val="center"/>
          </w:tcPr>
          <w:p w14:paraId="0D93966A">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auto" w:sz="4" w:space="0"/>
              <w:bottom w:val="single" w:color="auto" w:sz="4" w:space="0"/>
            </w:tcBorders>
            <w:vAlign w:val="center"/>
          </w:tcPr>
          <w:p w14:paraId="72F2B92D">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single" w:color="000000" w:sz="4" w:space="0"/>
              <w:bottom w:val="single" w:color="000000" w:sz="4" w:space="0"/>
            </w:tcBorders>
            <w:vAlign w:val="center"/>
          </w:tcPr>
          <w:p w14:paraId="18086085">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3788" w:type="dxa"/>
            <w:vAlign w:val="center"/>
          </w:tcPr>
          <w:p w14:paraId="3BB97F65">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严禁露天装卸作业和物料干法作业。</w:t>
            </w:r>
          </w:p>
        </w:tc>
        <w:tc>
          <w:tcPr>
            <w:tcW w:w="1066" w:type="dxa"/>
            <w:vAlign w:val="center"/>
          </w:tcPr>
          <w:p w14:paraId="04A221A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684A5D30">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39DC021B">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359" w:type="dxa"/>
            <w:vMerge w:val="continue"/>
            <w:vAlign w:val="center"/>
          </w:tcPr>
          <w:p w14:paraId="3A8F54E2">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r>
      <w:tr w14:paraId="198836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342A5498">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39</w:t>
            </w:r>
          </w:p>
        </w:tc>
        <w:tc>
          <w:tcPr>
            <w:tcW w:w="885" w:type="dxa"/>
            <w:vMerge w:val="restart"/>
            <w:tcBorders>
              <w:top w:val="single" w:color="auto" w:sz="4" w:space="0"/>
            </w:tcBorders>
            <w:vAlign w:val="center"/>
          </w:tcPr>
          <w:p w14:paraId="79E10B8A">
            <w:pPr>
              <w:pStyle w:val="11"/>
              <w:widowControl w:val="0"/>
              <w:kinsoku/>
              <w:autoSpaceDE/>
              <w:autoSpaceDN/>
              <w:spacing w:line="29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扬尘治理工程</w:t>
            </w:r>
          </w:p>
        </w:tc>
        <w:tc>
          <w:tcPr>
            <w:tcW w:w="1432" w:type="dxa"/>
            <w:vMerge w:val="restart"/>
            <w:tcBorders>
              <w:top w:val="single" w:color="auto" w:sz="4" w:space="0"/>
              <w:bottom w:val="single" w:color="auto" w:sz="4" w:space="0"/>
            </w:tcBorders>
            <w:vAlign w:val="center"/>
          </w:tcPr>
          <w:p w14:paraId="0689562F">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加强“两类企业”扬尘监管</w:t>
            </w:r>
          </w:p>
        </w:tc>
        <w:tc>
          <w:tcPr>
            <w:tcW w:w="2542" w:type="dxa"/>
            <w:vMerge w:val="restart"/>
            <w:tcBorders>
              <w:top w:val="single" w:color="000000" w:sz="4" w:space="0"/>
              <w:bottom w:val="single" w:color="000000" w:sz="4" w:space="0"/>
            </w:tcBorders>
            <w:vAlign w:val="center"/>
          </w:tcPr>
          <w:p w14:paraId="53662539">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加强日常监管，督促“两类企业”严格落实抑尘措施。</w:t>
            </w:r>
          </w:p>
        </w:tc>
        <w:tc>
          <w:tcPr>
            <w:tcW w:w="3788" w:type="dxa"/>
            <w:vAlign w:val="center"/>
          </w:tcPr>
          <w:p w14:paraId="02D801C2">
            <w:pPr>
              <w:pStyle w:val="11"/>
              <w:widowControl w:val="0"/>
              <w:kinsoku/>
              <w:autoSpaceDE/>
              <w:autoSpaceDN/>
              <w:spacing w:line="28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依托在线监管设备，对异常报警的“两类企业”进行现场督导检查，问题严重的依法立案查处。</w:t>
            </w:r>
          </w:p>
        </w:tc>
        <w:tc>
          <w:tcPr>
            <w:tcW w:w="1066" w:type="dxa"/>
            <w:vAlign w:val="center"/>
          </w:tcPr>
          <w:p w14:paraId="1DD789ED">
            <w:pPr>
              <w:pStyle w:val="11"/>
              <w:widowControl w:val="0"/>
              <w:kinsoku/>
              <w:autoSpaceDE/>
              <w:autoSpaceDN/>
              <w:spacing w:line="28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587E492F">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tc>
        <w:tc>
          <w:tcPr>
            <w:tcW w:w="1596" w:type="dxa"/>
            <w:vMerge w:val="restart"/>
            <w:tcBorders>
              <w:bottom w:val="nil"/>
            </w:tcBorders>
            <w:vAlign w:val="center"/>
          </w:tcPr>
          <w:p w14:paraId="5FC99F3D">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Merge w:val="restart"/>
            <w:tcBorders>
              <w:bottom w:val="nil"/>
            </w:tcBorders>
            <w:vAlign w:val="center"/>
          </w:tcPr>
          <w:p w14:paraId="2948A0DC">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431480EF">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769932B8">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3B389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701" w:hRule="atLeast"/>
        </w:trPr>
        <w:tc>
          <w:tcPr>
            <w:tcW w:w="390" w:type="dxa"/>
            <w:vMerge w:val="continue"/>
            <w:tcBorders>
              <w:top w:val="nil"/>
              <w:bottom w:val="nil"/>
            </w:tcBorders>
            <w:vAlign w:val="center"/>
          </w:tcPr>
          <w:p w14:paraId="356E86F0">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5C47C451">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auto" w:sz="4" w:space="0"/>
              <w:bottom w:val="single" w:color="auto" w:sz="4" w:space="0"/>
            </w:tcBorders>
            <w:vAlign w:val="center"/>
          </w:tcPr>
          <w:p w14:paraId="28F245AF">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single" w:color="000000" w:sz="4" w:space="0"/>
              <w:bottom w:val="single" w:color="000000" w:sz="4" w:space="0"/>
            </w:tcBorders>
            <w:vAlign w:val="center"/>
          </w:tcPr>
          <w:p w14:paraId="08EF86EC">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3788" w:type="dxa"/>
            <w:vAlign w:val="center"/>
          </w:tcPr>
          <w:p w14:paraId="20232E15">
            <w:pPr>
              <w:pStyle w:val="11"/>
              <w:widowControl w:val="0"/>
              <w:kinsoku/>
              <w:autoSpaceDE/>
              <w:autoSpaceDN/>
              <w:spacing w:line="28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每季度组织一次专项执法检查，做到全覆盖，建立检查问题清单，依法查处。</w:t>
            </w:r>
          </w:p>
        </w:tc>
        <w:tc>
          <w:tcPr>
            <w:tcW w:w="1066" w:type="dxa"/>
            <w:vAlign w:val="center"/>
          </w:tcPr>
          <w:p w14:paraId="60368472">
            <w:pPr>
              <w:pStyle w:val="11"/>
              <w:widowControl w:val="0"/>
              <w:kinsoku/>
              <w:autoSpaceDE/>
              <w:autoSpaceDN/>
              <w:spacing w:line="28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0DF24244">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774DD002">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072478B3">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r>
      <w:tr w14:paraId="22004E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670A3609">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bottom w:val="single" w:color="000000" w:sz="4" w:space="0"/>
            </w:tcBorders>
            <w:vAlign w:val="center"/>
          </w:tcPr>
          <w:p w14:paraId="06D269C8">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auto" w:sz="4" w:space="0"/>
              <w:bottom w:val="single" w:color="auto" w:sz="4" w:space="0"/>
            </w:tcBorders>
            <w:vAlign w:val="center"/>
          </w:tcPr>
          <w:p w14:paraId="4111C8A5">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single" w:color="000000" w:sz="4" w:space="0"/>
              <w:bottom w:val="single" w:color="000000" w:sz="4" w:space="0"/>
            </w:tcBorders>
            <w:vAlign w:val="center"/>
          </w:tcPr>
          <w:p w14:paraId="13620186">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3788" w:type="dxa"/>
            <w:vAlign w:val="center"/>
          </w:tcPr>
          <w:p w14:paraId="4E6B22C2">
            <w:pPr>
              <w:pStyle w:val="11"/>
              <w:widowControl w:val="0"/>
              <w:kinsoku/>
              <w:autoSpaceDE/>
              <w:autoSpaceDN/>
              <w:spacing w:line="28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积极推动“两类企业”绩效升级，培育一批引领性企业，带动全区“两类企业”高水平发展。</w:t>
            </w:r>
          </w:p>
        </w:tc>
        <w:tc>
          <w:tcPr>
            <w:tcW w:w="1066" w:type="dxa"/>
            <w:vAlign w:val="center"/>
          </w:tcPr>
          <w:p w14:paraId="33FD118F">
            <w:pPr>
              <w:pStyle w:val="11"/>
              <w:widowControl w:val="0"/>
              <w:kinsoku/>
              <w:autoSpaceDE/>
              <w:autoSpaceDN/>
              <w:spacing w:line="28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767DA65D">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6A748B03">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0877DC3F">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r>
      <w:tr w14:paraId="7536E0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4835A7E0">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40</w:t>
            </w:r>
          </w:p>
        </w:tc>
        <w:tc>
          <w:tcPr>
            <w:tcW w:w="885" w:type="dxa"/>
            <w:vMerge w:val="restart"/>
            <w:tcBorders>
              <w:top w:val="single" w:color="000000" w:sz="4" w:space="0"/>
              <w:bottom w:val="single" w:color="000000" w:sz="4" w:space="0"/>
            </w:tcBorders>
            <w:vAlign w:val="center"/>
          </w:tcPr>
          <w:p w14:paraId="23947D41">
            <w:pPr>
              <w:pStyle w:val="11"/>
              <w:widowControl w:val="0"/>
              <w:kinsoku/>
              <w:autoSpaceDE/>
              <w:autoSpaceDN/>
              <w:spacing w:line="29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环保产业培育工程</w:t>
            </w:r>
          </w:p>
        </w:tc>
        <w:tc>
          <w:tcPr>
            <w:tcW w:w="1432" w:type="dxa"/>
            <w:vMerge w:val="restart"/>
            <w:tcBorders>
              <w:top w:val="single" w:color="auto" w:sz="4" w:space="0"/>
              <w:bottom w:val="single" w:color="auto" w:sz="4" w:space="0"/>
            </w:tcBorders>
            <w:vAlign w:val="center"/>
          </w:tcPr>
          <w:p w14:paraId="0B74CC90">
            <w:pPr>
              <w:pStyle w:val="11"/>
              <w:widowControl w:val="0"/>
              <w:kinsoku/>
              <w:autoSpaceDE/>
              <w:autoSpaceDN/>
              <w:spacing w:line="29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推进环保产业培育</w:t>
            </w:r>
          </w:p>
        </w:tc>
        <w:tc>
          <w:tcPr>
            <w:tcW w:w="2542" w:type="dxa"/>
            <w:vMerge w:val="restart"/>
            <w:tcBorders>
              <w:top w:val="single" w:color="000000" w:sz="4" w:space="0"/>
              <w:bottom w:val="single" w:color="000000" w:sz="4" w:space="0"/>
            </w:tcBorders>
            <w:vAlign w:val="center"/>
          </w:tcPr>
          <w:p w14:paraId="6706E561">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加大政策支持力度，在环境监测、环保装备、环境咨询、深度治理等领域培育若干龙头企业。多措并举治理环保领域低价低质中标乱象，营造公平竞争环境，推动产业健康有序发展。</w:t>
            </w:r>
          </w:p>
        </w:tc>
        <w:tc>
          <w:tcPr>
            <w:tcW w:w="3788" w:type="dxa"/>
            <w:vAlign w:val="center"/>
          </w:tcPr>
          <w:p w14:paraId="60A2632D">
            <w:pPr>
              <w:pStyle w:val="11"/>
              <w:widowControl w:val="0"/>
              <w:kinsoku/>
              <w:autoSpaceDE/>
              <w:autoSpaceDN/>
              <w:spacing w:line="28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加大政策支持力度，依托省内科研院所和大中型企业的专业力量，提升生态环保产业科技创新能力。</w:t>
            </w:r>
          </w:p>
        </w:tc>
        <w:tc>
          <w:tcPr>
            <w:tcW w:w="1066" w:type="dxa"/>
            <w:vAlign w:val="center"/>
          </w:tcPr>
          <w:p w14:paraId="3275A7A6">
            <w:pPr>
              <w:pStyle w:val="11"/>
              <w:widowControl w:val="0"/>
              <w:kinsoku/>
              <w:autoSpaceDE/>
              <w:autoSpaceDN/>
              <w:spacing w:line="28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32166A88">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368B98F9">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5DF91958">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区科技局</w:t>
            </w:r>
          </w:p>
          <w:p w14:paraId="23F7A397">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tc>
        <w:tc>
          <w:tcPr>
            <w:tcW w:w="1359" w:type="dxa"/>
            <w:vMerge w:val="restart"/>
            <w:tcBorders>
              <w:bottom w:val="nil"/>
            </w:tcBorders>
            <w:vAlign w:val="center"/>
          </w:tcPr>
          <w:p w14:paraId="44FB36D9">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52141CDC">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5162439E">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79AC9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407" w:hRule="atLeast"/>
        </w:trPr>
        <w:tc>
          <w:tcPr>
            <w:tcW w:w="390" w:type="dxa"/>
            <w:vMerge w:val="continue"/>
            <w:tcBorders>
              <w:top w:val="nil"/>
              <w:bottom w:val="nil"/>
            </w:tcBorders>
            <w:vAlign w:val="center"/>
          </w:tcPr>
          <w:p w14:paraId="744FF465">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top w:val="single" w:color="000000" w:sz="4" w:space="0"/>
              <w:bottom w:val="single" w:color="000000" w:sz="4" w:space="0"/>
            </w:tcBorders>
            <w:vAlign w:val="center"/>
          </w:tcPr>
          <w:p w14:paraId="501CC3C6">
            <w:pPr>
              <w:widowControl w:val="0"/>
              <w:kinsoku/>
              <w:autoSpaceDE/>
              <w:autoSpaceDN/>
              <w:spacing w:line="29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auto" w:sz="4" w:space="0"/>
              <w:bottom w:val="single" w:color="auto" w:sz="4" w:space="0"/>
            </w:tcBorders>
            <w:vAlign w:val="center"/>
          </w:tcPr>
          <w:p w14:paraId="2A37B5E9">
            <w:pPr>
              <w:widowControl w:val="0"/>
              <w:kinsoku/>
              <w:autoSpaceDE/>
              <w:autoSpaceDN/>
              <w:spacing w:line="290" w:lineRule="exact"/>
              <w:jc w:val="both"/>
              <w:rPr>
                <w:rFonts w:ascii="Times New Roman" w:hAnsi="Times New Roman" w:cs="Times New Roman" w:eastAsiaTheme="minorEastAsia"/>
                <w:color w:val="000000" w:themeColor="text1"/>
                <w:spacing w:val="-6"/>
              </w:rPr>
            </w:pPr>
          </w:p>
        </w:tc>
        <w:tc>
          <w:tcPr>
            <w:tcW w:w="2542" w:type="dxa"/>
            <w:vMerge w:val="continue"/>
            <w:tcBorders>
              <w:top w:val="single" w:color="000000" w:sz="4" w:space="0"/>
              <w:bottom w:val="single" w:color="000000" w:sz="4" w:space="0"/>
            </w:tcBorders>
            <w:vAlign w:val="center"/>
          </w:tcPr>
          <w:p w14:paraId="5998D414">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vAlign w:val="center"/>
          </w:tcPr>
          <w:p w14:paraId="1EE82EAD">
            <w:pPr>
              <w:pStyle w:val="11"/>
              <w:widowControl w:val="0"/>
              <w:kinsoku/>
              <w:autoSpaceDE/>
              <w:autoSpaceDN/>
              <w:spacing w:line="28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推动环保产业培育。</w:t>
            </w:r>
          </w:p>
        </w:tc>
        <w:tc>
          <w:tcPr>
            <w:tcW w:w="1066" w:type="dxa"/>
            <w:vAlign w:val="center"/>
          </w:tcPr>
          <w:p w14:paraId="47913445">
            <w:pPr>
              <w:pStyle w:val="11"/>
              <w:widowControl w:val="0"/>
              <w:kinsoku/>
              <w:autoSpaceDE/>
              <w:autoSpaceDN/>
              <w:spacing w:line="28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210C47E3">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48B5C992">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7EAED799">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r>
      <w:tr w14:paraId="3BB550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711" w:hRule="atLeast"/>
        </w:trPr>
        <w:tc>
          <w:tcPr>
            <w:tcW w:w="390" w:type="dxa"/>
            <w:vMerge w:val="continue"/>
            <w:tcBorders>
              <w:top w:val="nil"/>
            </w:tcBorders>
            <w:vAlign w:val="center"/>
          </w:tcPr>
          <w:p w14:paraId="7C5505A6">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top w:val="single" w:color="000000" w:sz="4" w:space="0"/>
              <w:bottom w:val="single" w:color="000000" w:sz="4" w:space="0"/>
            </w:tcBorders>
            <w:vAlign w:val="center"/>
          </w:tcPr>
          <w:p w14:paraId="49E47B54">
            <w:pPr>
              <w:widowControl w:val="0"/>
              <w:kinsoku/>
              <w:autoSpaceDE/>
              <w:autoSpaceDN/>
              <w:spacing w:line="29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auto" w:sz="4" w:space="0"/>
              <w:bottom w:val="single" w:color="auto" w:sz="4" w:space="0"/>
            </w:tcBorders>
            <w:vAlign w:val="center"/>
          </w:tcPr>
          <w:p w14:paraId="0145C9D0">
            <w:pPr>
              <w:widowControl w:val="0"/>
              <w:kinsoku/>
              <w:autoSpaceDE/>
              <w:autoSpaceDN/>
              <w:spacing w:line="290" w:lineRule="exact"/>
              <w:jc w:val="both"/>
              <w:rPr>
                <w:rFonts w:ascii="Times New Roman" w:hAnsi="Times New Roman" w:cs="Times New Roman" w:eastAsiaTheme="minorEastAsia"/>
                <w:color w:val="000000" w:themeColor="text1"/>
                <w:spacing w:val="-6"/>
              </w:rPr>
            </w:pPr>
          </w:p>
        </w:tc>
        <w:tc>
          <w:tcPr>
            <w:tcW w:w="2542" w:type="dxa"/>
            <w:vMerge w:val="continue"/>
            <w:tcBorders>
              <w:top w:val="single" w:color="000000" w:sz="4" w:space="0"/>
              <w:bottom w:val="single" w:color="000000" w:sz="4" w:space="0"/>
            </w:tcBorders>
            <w:vAlign w:val="center"/>
          </w:tcPr>
          <w:p w14:paraId="203B53E2">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vAlign w:val="center"/>
          </w:tcPr>
          <w:p w14:paraId="0F79D331">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各行业主管部门要做好行业指导工作。</w:t>
            </w:r>
          </w:p>
        </w:tc>
        <w:tc>
          <w:tcPr>
            <w:tcW w:w="1066" w:type="dxa"/>
            <w:vAlign w:val="center"/>
          </w:tcPr>
          <w:p w14:paraId="00A232F7">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72872761">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67248000">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008807B6">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r>
      <w:tr w14:paraId="36579B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Align w:val="center"/>
          </w:tcPr>
          <w:p w14:paraId="39C4D94D">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41</w:t>
            </w:r>
          </w:p>
        </w:tc>
        <w:tc>
          <w:tcPr>
            <w:tcW w:w="885" w:type="dxa"/>
            <w:vMerge w:val="restart"/>
            <w:tcBorders>
              <w:top w:val="single" w:color="000000" w:sz="4" w:space="0"/>
            </w:tcBorders>
            <w:vAlign w:val="center"/>
          </w:tcPr>
          <w:p w14:paraId="31B923E2">
            <w:pPr>
              <w:pStyle w:val="11"/>
              <w:widowControl w:val="0"/>
              <w:kinsoku/>
              <w:autoSpaceDE/>
              <w:autoSpaceDN/>
              <w:spacing w:line="29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开展深度治理行动</w:t>
            </w:r>
          </w:p>
        </w:tc>
        <w:tc>
          <w:tcPr>
            <w:tcW w:w="1432" w:type="dxa"/>
            <w:tcBorders>
              <w:top w:val="single" w:color="auto" w:sz="4" w:space="0"/>
            </w:tcBorders>
            <w:vAlign w:val="center"/>
          </w:tcPr>
          <w:p w14:paraId="4958F62D">
            <w:pPr>
              <w:pStyle w:val="11"/>
              <w:widowControl w:val="0"/>
              <w:kinsoku/>
              <w:autoSpaceDE/>
              <w:autoSpaceDN/>
              <w:spacing w:line="29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推动燃气锅炉实施低氮燃烧深度改造</w:t>
            </w:r>
          </w:p>
        </w:tc>
        <w:tc>
          <w:tcPr>
            <w:tcW w:w="2542" w:type="dxa"/>
            <w:tcBorders>
              <w:top w:val="single" w:color="000000" w:sz="4" w:space="0"/>
            </w:tcBorders>
            <w:vAlign w:val="center"/>
          </w:tcPr>
          <w:p w14:paraId="41DB4083">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持续推进燃气锅炉低氮燃烧深度改造，氮氧化物排放浓度控制在30毫克/立方米以内。</w:t>
            </w:r>
          </w:p>
        </w:tc>
        <w:tc>
          <w:tcPr>
            <w:tcW w:w="3788" w:type="dxa"/>
            <w:vAlign w:val="center"/>
          </w:tcPr>
          <w:p w14:paraId="6103FA4A">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在全区范围内，鼓励对氮氧化物排放浓度高于30毫克/立方米的燃气锅炉实施低氮燃烧深度改造。</w:t>
            </w:r>
          </w:p>
        </w:tc>
        <w:tc>
          <w:tcPr>
            <w:tcW w:w="1066" w:type="dxa"/>
            <w:vAlign w:val="center"/>
          </w:tcPr>
          <w:p w14:paraId="62E368A1">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2025年10月底</w:t>
            </w:r>
          </w:p>
        </w:tc>
        <w:tc>
          <w:tcPr>
            <w:tcW w:w="1484" w:type="dxa"/>
            <w:vAlign w:val="center"/>
          </w:tcPr>
          <w:p w14:paraId="1C397B73">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Align w:val="center"/>
          </w:tcPr>
          <w:p w14:paraId="489DD5EE">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28F88050">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72140C67">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0DD059F5">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73BA54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510B5493">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42</w:t>
            </w:r>
          </w:p>
        </w:tc>
        <w:tc>
          <w:tcPr>
            <w:tcW w:w="885" w:type="dxa"/>
            <w:vMerge w:val="continue"/>
            <w:vAlign w:val="center"/>
          </w:tcPr>
          <w:p w14:paraId="4842D8AA">
            <w:pPr>
              <w:widowControl w:val="0"/>
              <w:kinsoku/>
              <w:autoSpaceDE/>
              <w:autoSpaceDN/>
              <w:spacing w:line="290" w:lineRule="exact"/>
              <w:jc w:val="center"/>
              <w:rPr>
                <w:rFonts w:ascii="Times New Roman" w:hAnsi="Times New Roman" w:cs="Times New Roman" w:eastAsiaTheme="minorEastAsia"/>
                <w:color w:val="000000" w:themeColor="text1"/>
                <w:spacing w:val="-6"/>
              </w:rPr>
            </w:pPr>
          </w:p>
        </w:tc>
        <w:tc>
          <w:tcPr>
            <w:tcW w:w="1432" w:type="dxa"/>
            <w:vMerge w:val="restart"/>
            <w:tcBorders>
              <w:bottom w:val="nil"/>
            </w:tcBorders>
            <w:vAlign w:val="center"/>
          </w:tcPr>
          <w:p w14:paraId="4F32F369">
            <w:pPr>
              <w:pStyle w:val="11"/>
              <w:widowControl w:val="0"/>
              <w:kinsoku/>
              <w:autoSpaceDE/>
              <w:autoSpaceDN/>
              <w:spacing w:line="29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持续推动燃煤锅炉淘汰</w:t>
            </w:r>
          </w:p>
        </w:tc>
        <w:tc>
          <w:tcPr>
            <w:tcW w:w="2542" w:type="dxa"/>
            <w:vMerge w:val="restart"/>
            <w:tcBorders>
              <w:bottom w:val="nil"/>
            </w:tcBorders>
            <w:vAlign w:val="center"/>
          </w:tcPr>
          <w:p w14:paraId="637B8573">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开展全面排查，完善锅炉清单，覆盖全燃料种类、各行业领域、不同炉型。加强生物质锅炉监管，生物质锅炉采用专用锅炉，配套布袋等高效除尘设施，禁止掺烧煤炭、生活垃圾等其他物料。</w:t>
            </w:r>
          </w:p>
        </w:tc>
        <w:tc>
          <w:tcPr>
            <w:tcW w:w="3788" w:type="dxa"/>
            <w:vAlign w:val="center"/>
          </w:tcPr>
          <w:p w14:paraId="396E929E">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对35蒸吨/小时及以下的燃煤锅炉（含茶水炉、经营性炉灶、储粮烘干设备、农产品加工等燃煤设施），发现一起，淘汰一起。</w:t>
            </w:r>
          </w:p>
        </w:tc>
        <w:tc>
          <w:tcPr>
            <w:tcW w:w="1066" w:type="dxa"/>
            <w:vAlign w:val="center"/>
          </w:tcPr>
          <w:p w14:paraId="4A97E336">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247BD92E">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30ECB63B">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Merge w:val="restart"/>
            <w:tcBorders>
              <w:bottom w:val="nil"/>
            </w:tcBorders>
            <w:vAlign w:val="center"/>
          </w:tcPr>
          <w:p w14:paraId="291C7338">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17E31E44">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2EFA9FDC">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61798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893" w:hRule="atLeast"/>
        </w:trPr>
        <w:tc>
          <w:tcPr>
            <w:tcW w:w="390" w:type="dxa"/>
            <w:vMerge w:val="continue"/>
            <w:tcBorders>
              <w:top w:val="nil"/>
            </w:tcBorders>
            <w:vAlign w:val="center"/>
          </w:tcPr>
          <w:p w14:paraId="66FFA443">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bottom w:val="single" w:color="auto" w:sz="4" w:space="0"/>
            </w:tcBorders>
            <w:vAlign w:val="center"/>
          </w:tcPr>
          <w:p w14:paraId="4EA44268">
            <w:pPr>
              <w:widowControl w:val="0"/>
              <w:kinsoku/>
              <w:autoSpaceDE/>
              <w:autoSpaceDN/>
              <w:spacing w:line="29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7A35B0EF">
            <w:pPr>
              <w:widowControl w:val="0"/>
              <w:kinsoku/>
              <w:autoSpaceDE/>
              <w:autoSpaceDN/>
              <w:spacing w:line="29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2316464A">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vAlign w:val="center"/>
          </w:tcPr>
          <w:p w14:paraId="0F52E4A8">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推进整合小型生物质锅炉，淘汰城市建成区内生物质锅炉。</w:t>
            </w:r>
          </w:p>
        </w:tc>
        <w:tc>
          <w:tcPr>
            <w:tcW w:w="1066" w:type="dxa"/>
            <w:vAlign w:val="center"/>
          </w:tcPr>
          <w:p w14:paraId="4BA931FD">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25EB1445">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0025059C">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0227674D">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r>
      <w:tr w14:paraId="3129C8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Align w:val="center"/>
          </w:tcPr>
          <w:p w14:paraId="7A9DE433">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43</w:t>
            </w:r>
          </w:p>
        </w:tc>
        <w:tc>
          <w:tcPr>
            <w:tcW w:w="885" w:type="dxa"/>
            <w:vMerge w:val="restart"/>
            <w:tcBorders>
              <w:top w:val="single" w:color="auto" w:sz="4" w:space="0"/>
            </w:tcBorders>
            <w:vAlign w:val="center"/>
          </w:tcPr>
          <w:p w14:paraId="032B4CD5">
            <w:pPr>
              <w:widowControl w:val="0"/>
              <w:kinsoku/>
              <w:autoSpaceDE/>
              <w:autoSpaceDN/>
              <w:spacing w:line="29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开展深度治理行动</w:t>
            </w:r>
          </w:p>
        </w:tc>
        <w:tc>
          <w:tcPr>
            <w:tcW w:w="1432" w:type="dxa"/>
            <w:vAlign w:val="center"/>
          </w:tcPr>
          <w:p w14:paraId="76E74646">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推进产业园区集中喷涂（钣喷）中心建设</w:t>
            </w:r>
          </w:p>
        </w:tc>
        <w:tc>
          <w:tcPr>
            <w:tcW w:w="2542" w:type="dxa"/>
            <w:vAlign w:val="center"/>
          </w:tcPr>
          <w:p w14:paraId="0FAD2F36">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新建家具制造、4S汽车产业园区同步建设集中喷涂（钣喷）中心。</w:t>
            </w:r>
          </w:p>
        </w:tc>
        <w:tc>
          <w:tcPr>
            <w:tcW w:w="3788" w:type="dxa"/>
            <w:vAlign w:val="center"/>
          </w:tcPr>
          <w:p w14:paraId="06D099F4">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加强源头审批，确保集中喷涂（钣喷）中心同时设计、同时施工、同时验收。</w:t>
            </w:r>
          </w:p>
        </w:tc>
        <w:tc>
          <w:tcPr>
            <w:tcW w:w="1066" w:type="dxa"/>
            <w:vAlign w:val="center"/>
          </w:tcPr>
          <w:p w14:paraId="5FE7AA0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2FE3908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Align w:val="center"/>
          </w:tcPr>
          <w:p w14:paraId="670AB82D">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66EC3F67">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2EFEC89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359" w:type="dxa"/>
            <w:vAlign w:val="center"/>
          </w:tcPr>
          <w:p w14:paraId="1DB1A4E8">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285D137F">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7CBB3B6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743AEF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tcBorders>
              <w:bottom w:val="single" w:color="auto" w:sz="4" w:space="0"/>
            </w:tcBorders>
            <w:vAlign w:val="center"/>
          </w:tcPr>
          <w:p w14:paraId="4F9DBF36">
            <w:pPr>
              <w:jc w:val="center"/>
              <w:textAlignment w:val="center"/>
              <w:rPr>
                <w:rFonts w:ascii="Times New Roman" w:hAnsi="Times New Roman" w:eastAsia="宋体" w:cs="Times New Roman"/>
                <w:lang w:eastAsia="zh-CN"/>
              </w:rPr>
            </w:pPr>
            <w:r>
              <w:rPr>
                <w:rFonts w:ascii="Times New Roman" w:hAnsi="Times New Roman" w:eastAsia="宋体" w:cs="Times New Roman"/>
                <w:lang w:eastAsia="zh-CN"/>
              </w:rPr>
              <w:t>44</w:t>
            </w:r>
          </w:p>
        </w:tc>
        <w:tc>
          <w:tcPr>
            <w:tcW w:w="885" w:type="dxa"/>
            <w:vMerge w:val="continue"/>
            <w:tcBorders>
              <w:bottom w:val="single" w:color="auto" w:sz="4" w:space="0"/>
            </w:tcBorders>
            <w:vAlign w:val="center"/>
          </w:tcPr>
          <w:p w14:paraId="2AA92F4D">
            <w:pPr>
              <w:widowControl w:val="0"/>
              <w:kinsoku/>
              <w:autoSpaceDE/>
              <w:autoSpaceDN/>
              <w:spacing w:line="290" w:lineRule="exact"/>
              <w:jc w:val="center"/>
              <w:rPr>
                <w:rFonts w:ascii="Times New Roman" w:hAnsi="Times New Roman" w:cs="Times New Roman" w:eastAsiaTheme="minorEastAsia"/>
                <w:color w:val="000000" w:themeColor="text1"/>
                <w:spacing w:val="-6"/>
              </w:rPr>
            </w:pPr>
          </w:p>
        </w:tc>
        <w:tc>
          <w:tcPr>
            <w:tcW w:w="1432" w:type="dxa"/>
            <w:tcBorders>
              <w:bottom w:val="single" w:color="auto" w:sz="4" w:space="0"/>
            </w:tcBorders>
            <w:vAlign w:val="center"/>
          </w:tcPr>
          <w:p w14:paraId="09555474">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推动声环境质量改善。</w:t>
            </w:r>
          </w:p>
        </w:tc>
        <w:tc>
          <w:tcPr>
            <w:tcW w:w="2542" w:type="dxa"/>
            <w:tcBorders>
              <w:bottom w:val="single" w:color="auto" w:sz="4" w:space="0"/>
            </w:tcBorders>
            <w:vAlign w:val="center"/>
          </w:tcPr>
          <w:p w14:paraId="58C1CF24">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全面实现功能区声环境质量自动监测，合理划定噪声敏感建筑物集中区域，推动宁静小区建设。</w:t>
            </w:r>
          </w:p>
        </w:tc>
        <w:tc>
          <w:tcPr>
            <w:tcW w:w="3788" w:type="dxa"/>
            <w:tcBorders>
              <w:bottom w:val="single" w:color="auto" w:sz="4" w:space="0"/>
            </w:tcBorders>
            <w:vAlign w:val="center"/>
          </w:tcPr>
          <w:p w14:paraId="2D5F537A">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大降噪先进技术、设备推广和噪声污染严重的落后工艺、设备淘汰力度。加强对建筑施工、工业生产、交通运输、社会生活等噪声污染的监督检查，加大噪声违法行为处罚力度，构建多部门齐抓共管、各层级上下协同的治理格局，推动解决噪声投诉重点问题。</w:t>
            </w:r>
          </w:p>
        </w:tc>
        <w:tc>
          <w:tcPr>
            <w:tcW w:w="1066" w:type="dxa"/>
            <w:tcBorders>
              <w:bottom w:val="single" w:color="auto" w:sz="4" w:space="0"/>
            </w:tcBorders>
            <w:vAlign w:val="center"/>
          </w:tcPr>
          <w:p w14:paraId="7AC6EFFD">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tcBorders>
              <w:bottom w:val="single" w:color="auto" w:sz="4" w:space="0"/>
            </w:tcBorders>
            <w:vAlign w:val="center"/>
          </w:tcPr>
          <w:p w14:paraId="4714D113">
            <w:pPr>
              <w:pStyle w:val="11"/>
              <w:widowControl w:val="0"/>
              <w:kinsoku/>
              <w:autoSpaceDE/>
              <w:autoSpaceDN/>
              <w:spacing w:line="240" w:lineRule="exact"/>
              <w:jc w:val="both"/>
              <w:rPr>
                <w:rFonts w:ascii="Times New Roman" w:hAnsi="Times New Roman" w:cs="Times New Roman" w:eastAsiaTheme="minorEastAsia"/>
                <w:color w:val="000000" w:themeColor="text1"/>
                <w:spacing w:val="-6"/>
              </w:rPr>
            </w:pPr>
          </w:p>
          <w:p w14:paraId="77E11BB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rPr>
              <w:t>生态环境</w:t>
            </w:r>
            <w:r>
              <w:rPr>
                <w:rFonts w:ascii="Times New Roman" w:hAnsi="Times New Roman" w:cs="Times New Roman" w:eastAsiaTheme="minorEastAsia"/>
                <w:color w:val="000000" w:themeColor="text1"/>
                <w:spacing w:val="-6"/>
                <w:lang w:eastAsia="zh-CN"/>
              </w:rPr>
              <w:t>分</w:t>
            </w:r>
            <w:r>
              <w:rPr>
                <w:rFonts w:ascii="Times New Roman" w:hAnsi="Times New Roman" w:cs="Times New Roman" w:eastAsiaTheme="minorEastAsia"/>
                <w:color w:val="000000" w:themeColor="text1"/>
                <w:spacing w:val="-6"/>
              </w:rPr>
              <w:t>局</w:t>
            </w:r>
          </w:p>
        </w:tc>
        <w:tc>
          <w:tcPr>
            <w:tcW w:w="1596" w:type="dxa"/>
            <w:tcBorders>
              <w:bottom w:val="single" w:color="auto" w:sz="4" w:space="0"/>
            </w:tcBorders>
            <w:vAlign w:val="center"/>
          </w:tcPr>
          <w:p w14:paraId="4AED4CF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0A8B1D78">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p w14:paraId="283CBCDF">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43E5222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4CC5E56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359" w:type="dxa"/>
            <w:tcBorders>
              <w:bottom w:val="single" w:color="auto" w:sz="4" w:space="0"/>
            </w:tcBorders>
            <w:vAlign w:val="center"/>
          </w:tcPr>
          <w:p w14:paraId="4A6EC5DE">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62BD28F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55C6B06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42705B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top w:val="single" w:color="auto" w:sz="4" w:space="0"/>
              <w:left w:val="single" w:color="auto" w:sz="4" w:space="0"/>
              <w:right w:val="single" w:color="auto" w:sz="4" w:space="0"/>
            </w:tcBorders>
            <w:vAlign w:val="center"/>
          </w:tcPr>
          <w:p w14:paraId="61901604">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45</w:t>
            </w:r>
          </w:p>
        </w:tc>
        <w:tc>
          <w:tcPr>
            <w:tcW w:w="885" w:type="dxa"/>
            <w:vMerge w:val="restart"/>
            <w:tcBorders>
              <w:top w:val="single" w:color="auto" w:sz="4" w:space="0"/>
              <w:left w:val="single" w:color="auto" w:sz="4" w:space="0"/>
              <w:bottom w:val="single" w:color="auto" w:sz="4" w:space="0"/>
              <w:right w:val="single" w:color="auto" w:sz="4" w:space="0"/>
            </w:tcBorders>
            <w:vAlign w:val="center"/>
          </w:tcPr>
          <w:p w14:paraId="38C5DB3E">
            <w:pPr>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重污染天气应对行动</w:t>
            </w:r>
          </w:p>
        </w:tc>
        <w:tc>
          <w:tcPr>
            <w:tcW w:w="1432" w:type="dxa"/>
            <w:vMerge w:val="restart"/>
            <w:tcBorders>
              <w:top w:val="single" w:color="auto" w:sz="4" w:space="0"/>
              <w:left w:val="single" w:color="auto" w:sz="4" w:space="0"/>
              <w:right w:val="single" w:color="auto" w:sz="4" w:space="0"/>
            </w:tcBorders>
            <w:vAlign w:val="center"/>
          </w:tcPr>
          <w:p w14:paraId="5F5800FA">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依法依规开展重污染天气应对</w:t>
            </w:r>
          </w:p>
        </w:tc>
        <w:tc>
          <w:tcPr>
            <w:tcW w:w="2542" w:type="dxa"/>
            <w:vMerge w:val="restart"/>
            <w:tcBorders>
              <w:top w:val="single" w:color="auto" w:sz="4" w:space="0"/>
              <w:left w:val="single" w:color="auto" w:sz="4" w:space="0"/>
              <w:right w:val="single" w:color="auto" w:sz="4" w:space="0"/>
            </w:tcBorders>
            <w:vAlign w:val="center"/>
          </w:tcPr>
          <w:p w14:paraId="325655D8">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进一步完善应急减排清单，明确应急减排措施，确保可操作、可监测、可核查，工业源清单要确保涉气企业全覆盖，含电厂、供暖锅炉、小微涉气企业等，移动源清单应包括道路移动源和非道路移动机械清单、涉大宗物料运输单位清单和货车白名单等。</w:t>
            </w:r>
          </w:p>
        </w:tc>
        <w:tc>
          <w:tcPr>
            <w:tcW w:w="3788" w:type="dxa"/>
            <w:tcBorders>
              <w:top w:val="single" w:color="auto" w:sz="4" w:space="0"/>
              <w:left w:val="single" w:color="auto" w:sz="4" w:space="0"/>
              <w:bottom w:val="single" w:color="auto" w:sz="4" w:space="0"/>
              <w:right w:val="single" w:color="auto" w:sz="4" w:space="0"/>
            </w:tcBorders>
            <w:vAlign w:val="center"/>
          </w:tcPr>
          <w:p w14:paraId="510C400B">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每年对应急减排清单动态更新，确保涉气企业应纳尽纳。</w:t>
            </w:r>
          </w:p>
        </w:tc>
        <w:tc>
          <w:tcPr>
            <w:tcW w:w="1066" w:type="dxa"/>
            <w:tcBorders>
              <w:top w:val="single" w:color="auto" w:sz="4" w:space="0"/>
              <w:left w:val="single" w:color="auto" w:sz="4" w:space="0"/>
              <w:bottom w:val="single" w:color="auto" w:sz="4" w:space="0"/>
              <w:right w:val="single" w:color="auto" w:sz="4" w:space="0"/>
            </w:tcBorders>
            <w:vAlign w:val="center"/>
          </w:tcPr>
          <w:p w14:paraId="1204600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top w:val="single" w:color="auto" w:sz="4" w:space="0"/>
              <w:left w:val="single" w:color="auto" w:sz="4" w:space="0"/>
              <w:right w:val="single" w:color="auto" w:sz="4" w:space="0"/>
            </w:tcBorders>
            <w:vAlign w:val="center"/>
          </w:tcPr>
          <w:p w14:paraId="7EFB33C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top w:val="single" w:color="auto" w:sz="4" w:space="0"/>
              <w:left w:val="single" w:color="auto" w:sz="4" w:space="0"/>
              <w:right w:val="single" w:color="auto" w:sz="4" w:space="0"/>
            </w:tcBorders>
            <w:vAlign w:val="center"/>
          </w:tcPr>
          <w:p w14:paraId="482C8A4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3EB78D8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4D755D5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564AFDB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5D23EE4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76E431D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tc>
        <w:tc>
          <w:tcPr>
            <w:tcW w:w="1359" w:type="dxa"/>
            <w:vMerge w:val="restart"/>
            <w:tcBorders>
              <w:top w:val="single" w:color="auto" w:sz="4" w:space="0"/>
              <w:left w:val="single" w:color="auto" w:sz="4" w:space="0"/>
              <w:right w:val="single" w:color="auto" w:sz="4" w:space="0"/>
            </w:tcBorders>
            <w:vAlign w:val="center"/>
          </w:tcPr>
          <w:p w14:paraId="62D2FDA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0A562E1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12BDD47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0D3682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2151" w:hRule="atLeast"/>
        </w:trPr>
        <w:tc>
          <w:tcPr>
            <w:tcW w:w="390" w:type="dxa"/>
            <w:vMerge w:val="continue"/>
            <w:tcBorders>
              <w:left w:val="single" w:color="auto" w:sz="4" w:space="0"/>
              <w:bottom w:val="single" w:color="000000" w:sz="4" w:space="0"/>
              <w:right w:val="single" w:color="auto" w:sz="4" w:space="0"/>
            </w:tcBorders>
            <w:vAlign w:val="center"/>
          </w:tcPr>
          <w:p w14:paraId="4B8B7F6D">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top w:val="single" w:color="auto" w:sz="4" w:space="0"/>
              <w:left w:val="single" w:color="auto" w:sz="4" w:space="0"/>
              <w:bottom w:val="single" w:color="000000" w:sz="4" w:space="0"/>
              <w:right w:val="single" w:color="auto" w:sz="4" w:space="0"/>
            </w:tcBorders>
            <w:vAlign w:val="center"/>
          </w:tcPr>
          <w:p w14:paraId="31AB651E">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left w:val="single" w:color="auto" w:sz="4" w:space="0"/>
              <w:bottom w:val="single" w:color="000000" w:sz="4" w:space="0"/>
              <w:right w:val="single" w:color="auto" w:sz="4" w:space="0"/>
            </w:tcBorders>
            <w:vAlign w:val="center"/>
          </w:tcPr>
          <w:p w14:paraId="27B80E2E">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2542" w:type="dxa"/>
            <w:vMerge w:val="continue"/>
            <w:tcBorders>
              <w:left w:val="single" w:color="auto" w:sz="4" w:space="0"/>
              <w:bottom w:val="single" w:color="000000" w:sz="4" w:space="0"/>
              <w:right w:val="single" w:color="auto" w:sz="4" w:space="0"/>
            </w:tcBorders>
            <w:vAlign w:val="center"/>
          </w:tcPr>
          <w:p w14:paraId="56AAD2DB">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3788" w:type="dxa"/>
            <w:tcBorders>
              <w:top w:val="single" w:color="auto" w:sz="4" w:space="0"/>
              <w:left w:val="single" w:color="auto" w:sz="4" w:space="0"/>
              <w:bottom w:val="single" w:color="000000" w:sz="4" w:space="0"/>
            </w:tcBorders>
            <w:vAlign w:val="center"/>
          </w:tcPr>
          <w:p w14:paraId="3FEC887C">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组织开展全区工业源应急减排清单抽查，抽查比例不低于20%，对核查不力的单位进行通报，进一步规范应急减排清单建设。</w:t>
            </w:r>
          </w:p>
        </w:tc>
        <w:tc>
          <w:tcPr>
            <w:tcW w:w="1066" w:type="dxa"/>
            <w:tcBorders>
              <w:top w:val="single" w:color="auto" w:sz="4" w:space="0"/>
              <w:right w:val="single" w:color="auto" w:sz="4" w:space="0"/>
            </w:tcBorders>
            <w:vAlign w:val="center"/>
          </w:tcPr>
          <w:p w14:paraId="56C0543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left w:val="single" w:color="auto" w:sz="4" w:space="0"/>
              <w:bottom w:val="single" w:color="000000" w:sz="4" w:space="0"/>
              <w:right w:val="single" w:color="auto" w:sz="4" w:space="0"/>
            </w:tcBorders>
            <w:vAlign w:val="center"/>
          </w:tcPr>
          <w:p w14:paraId="3A82D6F5">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596" w:type="dxa"/>
            <w:vMerge w:val="continue"/>
            <w:tcBorders>
              <w:left w:val="single" w:color="auto" w:sz="4" w:space="0"/>
              <w:bottom w:val="single" w:color="000000" w:sz="4" w:space="0"/>
              <w:right w:val="single" w:color="auto" w:sz="4" w:space="0"/>
            </w:tcBorders>
            <w:vAlign w:val="center"/>
          </w:tcPr>
          <w:p w14:paraId="0E6AC8E7">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359" w:type="dxa"/>
            <w:vMerge w:val="continue"/>
            <w:tcBorders>
              <w:left w:val="single" w:color="auto" w:sz="4" w:space="0"/>
              <w:bottom w:val="single" w:color="000000" w:sz="4" w:space="0"/>
              <w:right w:val="single" w:color="auto" w:sz="4" w:space="0"/>
            </w:tcBorders>
            <w:vAlign w:val="center"/>
          </w:tcPr>
          <w:p w14:paraId="7055CBB2">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r>
      <w:tr w14:paraId="7BDE3F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Align w:val="center"/>
          </w:tcPr>
          <w:p w14:paraId="4B23E344">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46</w:t>
            </w:r>
          </w:p>
        </w:tc>
        <w:tc>
          <w:tcPr>
            <w:tcW w:w="885" w:type="dxa"/>
            <w:vMerge w:val="continue"/>
            <w:vAlign w:val="center"/>
          </w:tcPr>
          <w:p w14:paraId="1F5EF7BF">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432" w:type="dxa"/>
            <w:vAlign w:val="center"/>
          </w:tcPr>
          <w:p w14:paraId="459295E5">
            <w:pPr>
              <w:pStyle w:val="11"/>
              <w:widowControl w:val="0"/>
              <w:kinsoku/>
              <w:autoSpaceDE/>
              <w:autoSpaceDN/>
              <w:spacing w:line="24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强化区域联防联控</w:t>
            </w:r>
          </w:p>
        </w:tc>
        <w:tc>
          <w:tcPr>
            <w:tcW w:w="2542" w:type="dxa"/>
            <w:vAlign w:val="center"/>
          </w:tcPr>
          <w:p w14:paraId="6DCDDB8D">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符合重污染天气应急响应启动条件时，及时协调咸阳市、渭南市、杨凌示范区等周边地市开展区域联防联控。</w:t>
            </w:r>
          </w:p>
        </w:tc>
        <w:tc>
          <w:tcPr>
            <w:tcW w:w="3788" w:type="dxa"/>
            <w:vAlign w:val="center"/>
          </w:tcPr>
          <w:p w14:paraId="765D8162">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配合相关地市同步开展区域应急联动，发布预警，启动重污染天气应急响应。配合市上适时开展“三市一区”会商研判，协调“三市一区”统一预警级别，同步发布预警信息，同时启动和解除应急响应。</w:t>
            </w:r>
          </w:p>
        </w:tc>
        <w:tc>
          <w:tcPr>
            <w:tcW w:w="1066" w:type="dxa"/>
            <w:vAlign w:val="center"/>
          </w:tcPr>
          <w:p w14:paraId="1AAA745F">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1222934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Align w:val="center"/>
          </w:tcPr>
          <w:p w14:paraId="6EC54B5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1EB4B84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0A974F8F">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755F874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9CBA2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Align w:val="center"/>
          </w:tcPr>
          <w:p w14:paraId="7A3F12C3">
            <w:pPr>
              <w:jc w:val="center"/>
              <w:textAlignment w:val="center"/>
              <w:rPr>
                <w:rFonts w:ascii="Times New Roman" w:hAnsi="Times New Roman" w:eastAsia="宋体" w:cs="Times New Roman"/>
                <w:lang w:eastAsia="zh-CN"/>
              </w:rPr>
            </w:pPr>
            <w:r>
              <w:rPr>
                <w:rFonts w:ascii="Times New Roman" w:hAnsi="Times New Roman" w:eastAsia="宋体" w:cs="Times New Roman"/>
                <w:lang w:eastAsia="zh-CN"/>
              </w:rPr>
              <w:t>47</w:t>
            </w:r>
          </w:p>
        </w:tc>
        <w:tc>
          <w:tcPr>
            <w:tcW w:w="885" w:type="dxa"/>
            <w:vMerge w:val="continue"/>
            <w:tcBorders>
              <w:bottom w:val="single" w:color="auto" w:sz="4" w:space="0"/>
            </w:tcBorders>
            <w:vAlign w:val="center"/>
          </w:tcPr>
          <w:p w14:paraId="455420E7">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432" w:type="dxa"/>
            <w:vAlign w:val="center"/>
          </w:tcPr>
          <w:p w14:paraId="287F1835">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提升移动源监管能力水平</w:t>
            </w:r>
          </w:p>
        </w:tc>
        <w:tc>
          <w:tcPr>
            <w:tcW w:w="2542" w:type="dxa"/>
            <w:vAlign w:val="center"/>
          </w:tcPr>
          <w:p w14:paraId="511604A7">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加强移动源环境监管能力建设，建设重型柴油车和非道路移动机械远程在线监控平台。</w:t>
            </w:r>
          </w:p>
        </w:tc>
        <w:tc>
          <w:tcPr>
            <w:tcW w:w="3788" w:type="dxa"/>
            <w:vAlign w:val="center"/>
          </w:tcPr>
          <w:p w14:paraId="466F2D6B">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066" w:type="dxa"/>
            <w:vAlign w:val="center"/>
          </w:tcPr>
          <w:p w14:paraId="7C0E936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605EE1DE">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Align w:val="center"/>
          </w:tcPr>
          <w:p w14:paraId="51B84E8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2C0088D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559BED2F">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7E9F813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464693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vAlign w:val="center"/>
          </w:tcPr>
          <w:p w14:paraId="452B454F">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48</w:t>
            </w:r>
          </w:p>
        </w:tc>
        <w:tc>
          <w:tcPr>
            <w:tcW w:w="885" w:type="dxa"/>
            <w:vMerge w:val="restart"/>
            <w:tcBorders>
              <w:top w:val="single" w:color="auto" w:sz="4" w:space="0"/>
            </w:tcBorders>
            <w:vAlign w:val="center"/>
          </w:tcPr>
          <w:p w14:paraId="616A5CEB">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p>
          <w:p w14:paraId="452D6EA1">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重污染天气应对行动</w:t>
            </w:r>
          </w:p>
        </w:tc>
        <w:tc>
          <w:tcPr>
            <w:tcW w:w="1432" w:type="dxa"/>
            <w:vMerge w:val="restart"/>
            <w:tcBorders>
              <w:bottom w:val="nil"/>
            </w:tcBorders>
            <w:vAlign w:val="center"/>
          </w:tcPr>
          <w:p w14:paraId="3DB2F062">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实施绩效分级差异化管控</w:t>
            </w:r>
          </w:p>
        </w:tc>
        <w:tc>
          <w:tcPr>
            <w:tcW w:w="2542" w:type="dxa"/>
            <w:vAlign w:val="center"/>
          </w:tcPr>
          <w:p w14:paraId="7D61F6BB">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深入开展“创A升B减C清D”活动，提升重点行业绩效分级B级及以上和引领性企业占比，聚焦重点涉气企业，兼顾企业数量和质量，推动重点行业头部企业、排放大户率先升级。</w:t>
            </w:r>
          </w:p>
        </w:tc>
        <w:tc>
          <w:tcPr>
            <w:tcW w:w="3788" w:type="dxa"/>
            <w:vAlign w:val="center"/>
          </w:tcPr>
          <w:p w14:paraId="52D76119">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完成市上下达我区绩效评级工作任务。</w:t>
            </w:r>
          </w:p>
        </w:tc>
        <w:tc>
          <w:tcPr>
            <w:tcW w:w="1066" w:type="dxa"/>
            <w:vAlign w:val="center"/>
          </w:tcPr>
          <w:p w14:paraId="6ECFE686">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2025年12月底</w:t>
            </w:r>
          </w:p>
        </w:tc>
        <w:tc>
          <w:tcPr>
            <w:tcW w:w="1484" w:type="dxa"/>
            <w:vAlign w:val="center"/>
          </w:tcPr>
          <w:p w14:paraId="6B42C380">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Align w:val="center"/>
          </w:tcPr>
          <w:p w14:paraId="63BFA165">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05636D2C">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区财政局</w:t>
            </w:r>
          </w:p>
          <w:p w14:paraId="41D801A1">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25C322EA">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046BD3A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4BE2165B">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区城投集团</w:t>
            </w:r>
          </w:p>
          <w:p w14:paraId="5713CAC2">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区城建集团</w:t>
            </w:r>
          </w:p>
        </w:tc>
        <w:tc>
          <w:tcPr>
            <w:tcW w:w="1359" w:type="dxa"/>
            <w:vMerge w:val="restart"/>
            <w:tcBorders>
              <w:bottom w:val="nil"/>
            </w:tcBorders>
            <w:vAlign w:val="center"/>
          </w:tcPr>
          <w:p w14:paraId="03BFA05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34AC44F0">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2B6BD19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3A93ED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163" w:hRule="atLeast"/>
        </w:trPr>
        <w:tc>
          <w:tcPr>
            <w:tcW w:w="390" w:type="dxa"/>
            <w:vMerge w:val="continue"/>
            <w:vAlign w:val="center"/>
          </w:tcPr>
          <w:p w14:paraId="2F3FC965">
            <w:pPr>
              <w:widowControl w:val="0"/>
              <w:kinsoku/>
              <w:autoSpaceDE/>
              <w:autoSpaceDN/>
              <w:jc w:val="center"/>
              <w:textAlignment w:val="center"/>
              <w:rPr>
                <w:rFonts w:ascii="Times New Roman" w:hAnsi="Times New Roman" w:eastAsia="宋体" w:cs="Times New Roman"/>
                <w:lang w:eastAsia="zh-CN"/>
              </w:rPr>
            </w:pPr>
          </w:p>
        </w:tc>
        <w:tc>
          <w:tcPr>
            <w:tcW w:w="885" w:type="dxa"/>
            <w:vMerge w:val="continue"/>
            <w:vAlign w:val="center"/>
          </w:tcPr>
          <w:p w14:paraId="119F08B7">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6CAE8D2B">
            <w:pPr>
              <w:pStyle w:val="11"/>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2542" w:type="dxa"/>
            <w:vAlign w:val="center"/>
          </w:tcPr>
          <w:p w14:paraId="011C7C6F">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开展企业环保绩效升级创A升B减C清D。</w:t>
            </w:r>
          </w:p>
        </w:tc>
        <w:tc>
          <w:tcPr>
            <w:tcW w:w="3788" w:type="dxa"/>
            <w:vAlign w:val="center"/>
          </w:tcPr>
          <w:p w14:paraId="4BB3A8FC">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2025年底前，辖区内的涉气重点企业环保绩效达到B级及以上水平。辖区及开发区评定为环保绩效最低等级水平的企业，由行业主管部门依法依规处置</w:t>
            </w:r>
          </w:p>
        </w:tc>
        <w:tc>
          <w:tcPr>
            <w:tcW w:w="1066" w:type="dxa"/>
            <w:vAlign w:val="center"/>
          </w:tcPr>
          <w:p w14:paraId="21207C86">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2025年12月底</w:t>
            </w:r>
          </w:p>
        </w:tc>
        <w:tc>
          <w:tcPr>
            <w:tcW w:w="1484" w:type="dxa"/>
            <w:vAlign w:val="center"/>
          </w:tcPr>
          <w:p w14:paraId="1FD09B60">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Align w:val="center"/>
          </w:tcPr>
          <w:p w14:paraId="4E37CB0C">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1E0776B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7B83A831">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tc>
        <w:tc>
          <w:tcPr>
            <w:tcW w:w="1359" w:type="dxa"/>
            <w:vMerge w:val="continue"/>
            <w:vAlign w:val="center"/>
          </w:tcPr>
          <w:p w14:paraId="076115E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r>
      <w:tr w14:paraId="45520D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vAlign w:val="center"/>
          </w:tcPr>
          <w:p w14:paraId="2EB58671">
            <w:pPr>
              <w:jc w:val="center"/>
              <w:textAlignment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558ABF8D">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tcBorders>
            <w:vAlign w:val="center"/>
          </w:tcPr>
          <w:p w14:paraId="4B46CC2A">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2542" w:type="dxa"/>
            <w:vAlign w:val="center"/>
          </w:tcPr>
          <w:p w14:paraId="0419627A">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强化差异化减排监测监管，规范各类企业差异化减排落实，提高差异化减排管控水平。</w:t>
            </w:r>
          </w:p>
        </w:tc>
        <w:tc>
          <w:tcPr>
            <w:tcW w:w="3788" w:type="dxa"/>
            <w:vAlign w:val="center"/>
          </w:tcPr>
          <w:p w14:paraId="7D3534FB">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重污染应急期间，加大对企业差异化减排落实情况现场核查检查力度。</w:t>
            </w:r>
          </w:p>
        </w:tc>
        <w:tc>
          <w:tcPr>
            <w:tcW w:w="1066" w:type="dxa"/>
            <w:vAlign w:val="center"/>
          </w:tcPr>
          <w:p w14:paraId="5E0076A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27A9CB0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Align w:val="center"/>
          </w:tcPr>
          <w:p w14:paraId="35E33EF1">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2F56716B">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7DF3FC2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22A2484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317C143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4A50089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区城投集团</w:t>
            </w:r>
          </w:p>
          <w:p w14:paraId="74DBFFA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区城建集团</w:t>
            </w:r>
          </w:p>
        </w:tc>
        <w:tc>
          <w:tcPr>
            <w:tcW w:w="1359" w:type="dxa"/>
            <w:vMerge w:val="continue"/>
            <w:tcBorders>
              <w:top w:val="nil"/>
            </w:tcBorders>
            <w:vAlign w:val="center"/>
          </w:tcPr>
          <w:p w14:paraId="476CDB56">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r>
      <w:tr w14:paraId="46E59E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7D05FF38">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49</w:t>
            </w:r>
          </w:p>
        </w:tc>
        <w:tc>
          <w:tcPr>
            <w:tcW w:w="885" w:type="dxa"/>
            <w:vMerge w:val="restart"/>
            <w:vAlign w:val="center"/>
          </w:tcPr>
          <w:p w14:paraId="0F905D71">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夏季臭氧应对行动</w:t>
            </w:r>
          </w:p>
          <w:p w14:paraId="1D6B4B79">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432" w:type="dxa"/>
            <w:vMerge w:val="restart"/>
            <w:tcBorders>
              <w:bottom w:val="nil"/>
            </w:tcBorders>
            <w:vAlign w:val="center"/>
          </w:tcPr>
          <w:p w14:paraId="08893A95">
            <w:pPr>
              <w:pStyle w:val="11"/>
              <w:widowControl w:val="0"/>
              <w:kinsoku/>
              <w:autoSpaceDE/>
              <w:autoSpaceDN/>
              <w:spacing w:line="24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推进提标改造</w:t>
            </w:r>
          </w:p>
        </w:tc>
        <w:tc>
          <w:tcPr>
            <w:tcW w:w="2542" w:type="dxa"/>
            <w:vMerge w:val="restart"/>
            <w:tcBorders>
              <w:bottom w:val="nil"/>
            </w:tcBorders>
            <w:vAlign w:val="center"/>
          </w:tcPr>
          <w:p w14:paraId="407CB2AE">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持续推进达不到新排放标准的印刷、玻璃行业企业实施提标改造。</w:t>
            </w:r>
          </w:p>
        </w:tc>
        <w:tc>
          <w:tcPr>
            <w:tcW w:w="3788" w:type="dxa"/>
            <w:vAlign w:val="center"/>
          </w:tcPr>
          <w:p w14:paraId="11EAEFA3">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全区印刷、玻璃企业开展一轮监督性抽测工作，监测企业数量比例不低于30%。</w:t>
            </w:r>
          </w:p>
        </w:tc>
        <w:tc>
          <w:tcPr>
            <w:tcW w:w="1066" w:type="dxa"/>
            <w:vAlign w:val="center"/>
          </w:tcPr>
          <w:p w14:paraId="757873E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2025年3月底</w:t>
            </w:r>
          </w:p>
        </w:tc>
        <w:tc>
          <w:tcPr>
            <w:tcW w:w="1484" w:type="dxa"/>
            <w:vMerge w:val="restart"/>
            <w:tcBorders>
              <w:bottom w:val="nil"/>
            </w:tcBorders>
            <w:vAlign w:val="center"/>
          </w:tcPr>
          <w:p w14:paraId="3ABEE442">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6FFA2B2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tc>
        <w:tc>
          <w:tcPr>
            <w:tcW w:w="1359" w:type="dxa"/>
            <w:vMerge w:val="restart"/>
            <w:tcBorders>
              <w:bottom w:val="nil"/>
            </w:tcBorders>
            <w:vAlign w:val="center"/>
          </w:tcPr>
          <w:p w14:paraId="24C7BCBF">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13B75212">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5437E3B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7FA406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00EA5FFC">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3182328E">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603812AF">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56945C37">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3788" w:type="dxa"/>
            <w:vAlign w:val="center"/>
          </w:tcPr>
          <w:p w14:paraId="39A3DFDA">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对不达标的企业进行提标改造。</w:t>
            </w:r>
          </w:p>
        </w:tc>
        <w:tc>
          <w:tcPr>
            <w:tcW w:w="1066" w:type="dxa"/>
            <w:vAlign w:val="center"/>
          </w:tcPr>
          <w:p w14:paraId="77EDF49F">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2025年6月底</w:t>
            </w:r>
          </w:p>
        </w:tc>
        <w:tc>
          <w:tcPr>
            <w:tcW w:w="1484" w:type="dxa"/>
            <w:vMerge w:val="continue"/>
            <w:tcBorders>
              <w:top w:val="nil"/>
            </w:tcBorders>
            <w:vAlign w:val="center"/>
          </w:tcPr>
          <w:p w14:paraId="7D6187DA">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30B6F43E">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0D755322">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r>
      <w:tr w14:paraId="196A46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183B6422">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50</w:t>
            </w:r>
          </w:p>
        </w:tc>
        <w:tc>
          <w:tcPr>
            <w:tcW w:w="885" w:type="dxa"/>
            <w:vMerge w:val="continue"/>
            <w:vAlign w:val="center"/>
          </w:tcPr>
          <w:p w14:paraId="47FB2DEE">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432" w:type="dxa"/>
            <w:vMerge w:val="restart"/>
            <w:tcBorders>
              <w:bottom w:val="nil"/>
            </w:tcBorders>
            <w:vAlign w:val="center"/>
          </w:tcPr>
          <w:p w14:paraId="7195EA1E">
            <w:pPr>
              <w:pStyle w:val="11"/>
              <w:widowControl w:val="0"/>
              <w:kinsoku/>
              <w:autoSpaceDE/>
              <w:autoSpaceDN/>
              <w:spacing w:line="28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开展夏防期汽修企业专项治理行动</w:t>
            </w:r>
          </w:p>
        </w:tc>
        <w:tc>
          <w:tcPr>
            <w:tcW w:w="2542" w:type="dxa"/>
            <w:vMerge w:val="restart"/>
            <w:tcBorders>
              <w:bottom w:val="nil"/>
            </w:tcBorders>
            <w:vAlign w:val="center"/>
          </w:tcPr>
          <w:p w14:paraId="3A32EB09">
            <w:pPr>
              <w:pStyle w:val="11"/>
              <w:widowControl w:val="0"/>
              <w:kinsoku/>
              <w:autoSpaceDE/>
              <w:autoSpaceDN/>
              <w:spacing w:line="28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针对汽修企业开展专项执法检查行动，夏防期抽查涉及喷涂汽修企业比例不低于60%。</w:t>
            </w:r>
          </w:p>
        </w:tc>
        <w:tc>
          <w:tcPr>
            <w:tcW w:w="3788" w:type="dxa"/>
            <w:vAlign w:val="center"/>
          </w:tcPr>
          <w:p w14:paraId="54AF0B18">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对照《汽车维修业污染防治技术规范</w:t>
            </w:r>
          </w:p>
          <w:p w14:paraId="182016B3">
            <w:pPr>
              <w:pStyle w:val="11"/>
              <w:widowControl w:val="0"/>
              <w:kinsoku/>
              <w:autoSpaceDE/>
              <w:autoSpaceDN/>
              <w:spacing w:line="24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lang w:eastAsia="zh-CN"/>
              </w:rPr>
              <w:t>（DB61/T1261—2019）》和《西安市汽修维修业喷烤漆“红黄牌”警示管理办法》，对废气处理设施运行不规范、露天喷涂、活性炭更换不及时等问题的汽修企业进行整治。</w:t>
            </w:r>
            <w:r>
              <w:rPr>
                <w:rFonts w:ascii="Times New Roman" w:hAnsi="Times New Roman" w:cs="Times New Roman" w:eastAsiaTheme="minorEastAsia"/>
                <w:color w:val="000000" w:themeColor="text1"/>
                <w:spacing w:val="-6"/>
              </w:rPr>
              <w:t>夏防期抽查涉及喷涂汽修企业比例不低于60%。</w:t>
            </w:r>
          </w:p>
        </w:tc>
        <w:tc>
          <w:tcPr>
            <w:tcW w:w="1066" w:type="dxa"/>
            <w:vAlign w:val="center"/>
          </w:tcPr>
          <w:p w14:paraId="72ABF4A8">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5CE1FF8C">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596" w:type="dxa"/>
            <w:vMerge w:val="restart"/>
            <w:tcBorders>
              <w:bottom w:val="nil"/>
            </w:tcBorders>
            <w:vAlign w:val="center"/>
          </w:tcPr>
          <w:p w14:paraId="5C9C49EA">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359" w:type="dxa"/>
            <w:vMerge w:val="restart"/>
            <w:tcBorders>
              <w:bottom w:val="nil"/>
            </w:tcBorders>
            <w:vAlign w:val="center"/>
          </w:tcPr>
          <w:p w14:paraId="0D49F704">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1D78655C">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4DFB4FD5">
            <w:pPr>
              <w:pStyle w:val="11"/>
              <w:widowControl w:val="0"/>
              <w:kinsoku/>
              <w:autoSpaceDE/>
              <w:autoSpaceDN/>
              <w:spacing w:line="28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57A991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24623FAC">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bottom w:val="single" w:color="auto" w:sz="4" w:space="0"/>
            </w:tcBorders>
            <w:vAlign w:val="center"/>
          </w:tcPr>
          <w:p w14:paraId="55630002">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16B2809A">
            <w:pPr>
              <w:widowControl w:val="0"/>
              <w:kinsoku/>
              <w:autoSpaceDE/>
              <w:autoSpaceDN/>
              <w:spacing w:line="28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3E05A668">
            <w:pPr>
              <w:widowControl w:val="0"/>
              <w:kinsoku/>
              <w:autoSpaceDE/>
              <w:autoSpaceDN/>
              <w:spacing w:line="280" w:lineRule="exact"/>
              <w:jc w:val="both"/>
              <w:rPr>
                <w:rFonts w:ascii="Times New Roman" w:hAnsi="Times New Roman" w:cs="Times New Roman" w:eastAsiaTheme="minorEastAsia"/>
                <w:color w:val="000000" w:themeColor="text1"/>
                <w:spacing w:val="-6"/>
              </w:rPr>
            </w:pPr>
          </w:p>
        </w:tc>
        <w:tc>
          <w:tcPr>
            <w:tcW w:w="3788" w:type="dxa"/>
            <w:vAlign w:val="center"/>
          </w:tcPr>
          <w:p w14:paraId="5BC717B4">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对完成源头替代和VOCs末端深度治理的汽修企业纳入豁免清单。</w:t>
            </w:r>
          </w:p>
        </w:tc>
        <w:tc>
          <w:tcPr>
            <w:tcW w:w="1066" w:type="dxa"/>
            <w:vAlign w:val="center"/>
          </w:tcPr>
          <w:p w14:paraId="5F00538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3D3BC0F1">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121599AB">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27C59885">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r>
      <w:tr w14:paraId="0F157A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73ECB447">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51</w:t>
            </w:r>
          </w:p>
        </w:tc>
        <w:tc>
          <w:tcPr>
            <w:tcW w:w="885" w:type="dxa"/>
            <w:vMerge w:val="restart"/>
            <w:tcBorders>
              <w:top w:val="single" w:color="auto" w:sz="4" w:space="0"/>
            </w:tcBorders>
            <w:vAlign w:val="center"/>
          </w:tcPr>
          <w:p w14:paraId="1FCED847">
            <w:pPr>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夏季臭氧应对行动</w:t>
            </w:r>
          </w:p>
        </w:tc>
        <w:tc>
          <w:tcPr>
            <w:tcW w:w="1432" w:type="dxa"/>
            <w:vMerge w:val="restart"/>
            <w:tcBorders>
              <w:bottom w:val="nil"/>
            </w:tcBorders>
            <w:vAlign w:val="center"/>
          </w:tcPr>
          <w:p w14:paraId="2E76784E">
            <w:pPr>
              <w:pStyle w:val="11"/>
              <w:widowControl w:val="0"/>
              <w:kinsoku/>
              <w:autoSpaceDE/>
              <w:autoSpaceDN/>
              <w:spacing w:line="23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全面推进VOCs综合治理</w:t>
            </w:r>
          </w:p>
        </w:tc>
        <w:tc>
          <w:tcPr>
            <w:tcW w:w="2542" w:type="dxa"/>
            <w:vMerge w:val="restart"/>
            <w:tcBorders>
              <w:bottom w:val="nil"/>
            </w:tcBorders>
            <w:vAlign w:val="center"/>
          </w:tcPr>
          <w:p w14:paraId="22FE6E5C">
            <w:pPr>
              <w:pStyle w:val="11"/>
              <w:widowControl w:val="0"/>
              <w:kinsoku/>
              <w:autoSpaceDE/>
              <w:autoSpaceDN/>
              <w:spacing w:line="23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强化涉VOCs工业企业的监督管理。</w:t>
            </w:r>
          </w:p>
        </w:tc>
        <w:tc>
          <w:tcPr>
            <w:tcW w:w="3788" w:type="dxa"/>
            <w:vAlign w:val="center"/>
          </w:tcPr>
          <w:p w14:paraId="1A0EAA92">
            <w:pPr>
              <w:pStyle w:val="11"/>
              <w:widowControl w:val="0"/>
              <w:kinsoku/>
              <w:autoSpaceDE/>
              <w:autoSpaceDN/>
              <w:spacing w:line="23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开展全区涉VOCs处理工艺重点行业专项帮扶工作。</w:t>
            </w:r>
          </w:p>
        </w:tc>
        <w:tc>
          <w:tcPr>
            <w:tcW w:w="1066" w:type="dxa"/>
            <w:shd w:val="clear" w:color="auto" w:fill="auto"/>
            <w:vAlign w:val="center"/>
          </w:tcPr>
          <w:p w14:paraId="6D868D3C">
            <w:pPr>
              <w:pStyle w:val="11"/>
              <w:widowControl w:val="0"/>
              <w:kinsoku/>
              <w:autoSpaceDE/>
              <w:autoSpaceDN/>
              <w:spacing w:line="23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w:t>
            </w:r>
            <w:r>
              <w:rPr>
                <w:rFonts w:ascii="Times New Roman" w:hAnsi="Times New Roman" w:cs="Times New Roman" w:eastAsiaTheme="minorEastAsia"/>
                <w:color w:val="000000" w:themeColor="text1"/>
                <w:spacing w:val="-6"/>
                <w:lang w:eastAsia="zh-CN"/>
              </w:rPr>
              <w:t>4</w:t>
            </w:r>
            <w:r>
              <w:rPr>
                <w:rFonts w:ascii="Times New Roman" w:hAnsi="Times New Roman" w:cs="Times New Roman" w:eastAsiaTheme="minorEastAsia"/>
                <w:color w:val="000000" w:themeColor="text1"/>
                <w:spacing w:val="-6"/>
              </w:rPr>
              <w:t>月底</w:t>
            </w:r>
          </w:p>
        </w:tc>
        <w:tc>
          <w:tcPr>
            <w:tcW w:w="1484" w:type="dxa"/>
            <w:vMerge w:val="restart"/>
            <w:tcBorders>
              <w:bottom w:val="nil"/>
            </w:tcBorders>
            <w:vAlign w:val="center"/>
          </w:tcPr>
          <w:p w14:paraId="167A17F4">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652F3F7C">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Merge w:val="restart"/>
            <w:tcBorders>
              <w:bottom w:val="nil"/>
            </w:tcBorders>
            <w:vAlign w:val="center"/>
          </w:tcPr>
          <w:p w14:paraId="5EDBCB5F">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68C8231A">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57D71391">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2347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557" w:hRule="atLeast"/>
        </w:trPr>
        <w:tc>
          <w:tcPr>
            <w:tcW w:w="390" w:type="dxa"/>
            <w:vMerge w:val="continue"/>
            <w:tcBorders>
              <w:top w:val="nil"/>
              <w:bottom w:val="nil"/>
            </w:tcBorders>
            <w:vAlign w:val="center"/>
          </w:tcPr>
          <w:p w14:paraId="2C39F64A">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5BB33AD2">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bottom w:val="nil"/>
            </w:tcBorders>
            <w:vAlign w:val="center"/>
          </w:tcPr>
          <w:p w14:paraId="60AA004A">
            <w:pPr>
              <w:pStyle w:val="11"/>
              <w:widowControl w:val="0"/>
              <w:kinsoku/>
              <w:autoSpaceDE/>
              <w:autoSpaceDN/>
              <w:spacing w:line="23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nil"/>
            </w:tcBorders>
            <w:vAlign w:val="center"/>
          </w:tcPr>
          <w:p w14:paraId="3453B44F">
            <w:pPr>
              <w:pStyle w:val="11"/>
              <w:widowControl w:val="0"/>
              <w:kinsoku/>
              <w:autoSpaceDE/>
              <w:autoSpaceDN/>
              <w:spacing w:line="230" w:lineRule="exact"/>
              <w:jc w:val="both"/>
              <w:rPr>
                <w:rFonts w:ascii="Times New Roman" w:hAnsi="Times New Roman" w:cs="Times New Roman" w:eastAsiaTheme="minorEastAsia"/>
                <w:color w:val="000000" w:themeColor="text1"/>
                <w:spacing w:val="-6"/>
              </w:rPr>
            </w:pPr>
          </w:p>
        </w:tc>
        <w:tc>
          <w:tcPr>
            <w:tcW w:w="3788" w:type="dxa"/>
            <w:vAlign w:val="center"/>
          </w:tcPr>
          <w:p w14:paraId="3F1461EF">
            <w:pPr>
              <w:pStyle w:val="11"/>
              <w:widowControl w:val="0"/>
              <w:kinsoku/>
              <w:autoSpaceDE/>
              <w:autoSpaceDN/>
              <w:spacing w:line="23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污水处理厂所排放的高浓度有机废气应单独收集处理；含VOCs有机废水储罐、装置区集水井（池）排放的有机废气应密闭收集处理。</w:t>
            </w:r>
          </w:p>
        </w:tc>
        <w:tc>
          <w:tcPr>
            <w:tcW w:w="1066" w:type="dxa"/>
            <w:vAlign w:val="center"/>
          </w:tcPr>
          <w:p w14:paraId="1ADEC186">
            <w:pPr>
              <w:pStyle w:val="11"/>
              <w:widowControl w:val="0"/>
              <w:kinsoku/>
              <w:autoSpaceDE/>
              <w:autoSpaceDN/>
              <w:spacing w:line="23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2025年5月底</w:t>
            </w:r>
          </w:p>
        </w:tc>
        <w:tc>
          <w:tcPr>
            <w:tcW w:w="1484" w:type="dxa"/>
            <w:vMerge w:val="continue"/>
            <w:tcBorders>
              <w:top w:val="nil"/>
              <w:bottom w:val="nil"/>
            </w:tcBorders>
            <w:vAlign w:val="center"/>
          </w:tcPr>
          <w:p w14:paraId="300E53E5">
            <w:pPr>
              <w:widowControl w:val="0"/>
              <w:kinsoku/>
              <w:autoSpaceDE/>
              <w:autoSpaceDN/>
              <w:spacing w:line="23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0A8E5435">
            <w:pPr>
              <w:widowControl w:val="0"/>
              <w:kinsoku/>
              <w:autoSpaceDE/>
              <w:autoSpaceDN/>
              <w:spacing w:line="23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240E84E3">
            <w:pPr>
              <w:widowControl w:val="0"/>
              <w:kinsoku/>
              <w:autoSpaceDE/>
              <w:autoSpaceDN/>
              <w:spacing w:line="230" w:lineRule="exact"/>
              <w:jc w:val="center"/>
              <w:rPr>
                <w:rFonts w:ascii="Times New Roman" w:hAnsi="Times New Roman" w:cs="Times New Roman" w:eastAsiaTheme="minorEastAsia"/>
                <w:color w:val="000000" w:themeColor="text1"/>
                <w:spacing w:val="-6"/>
              </w:rPr>
            </w:pPr>
          </w:p>
        </w:tc>
      </w:tr>
      <w:tr w14:paraId="194EA8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961" w:hRule="atLeast"/>
        </w:trPr>
        <w:tc>
          <w:tcPr>
            <w:tcW w:w="390" w:type="dxa"/>
            <w:vMerge w:val="continue"/>
            <w:tcBorders>
              <w:top w:val="nil"/>
            </w:tcBorders>
            <w:vAlign w:val="center"/>
          </w:tcPr>
          <w:p w14:paraId="641C800C">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2020D205">
            <w:pPr>
              <w:widowControl w:val="0"/>
              <w:kinsoku/>
              <w:autoSpaceDE/>
              <w:autoSpaceDN/>
              <w:spacing w:line="28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4F2CF0AF">
            <w:pPr>
              <w:pStyle w:val="11"/>
              <w:widowControl w:val="0"/>
              <w:kinsoku/>
              <w:autoSpaceDE/>
              <w:autoSpaceDN/>
              <w:spacing w:line="23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4319210D">
            <w:pPr>
              <w:pStyle w:val="11"/>
              <w:widowControl w:val="0"/>
              <w:kinsoku/>
              <w:autoSpaceDE/>
              <w:autoSpaceDN/>
              <w:spacing w:line="230" w:lineRule="exact"/>
              <w:jc w:val="both"/>
              <w:rPr>
                <w:rFonts w:ascii="Times New Roman" w:hAnsi="Times New Roman" w:cs="Times New Roman" w:eastAsiaTheme="minorEastAsia"/>
                <w:color w:val="000000" w:themeColor="text1"/>
                <w:spacing w:val="-6"/>
              </w:rPr>
            </w:pPr>
          </w:p>
        </w:tc>
        <w:tc>
          <w:tcPr>
            <w:tcW w:w="3788" w:type="dxa"/>
            <w:vAlign w:val="center"/>
          </w:tcPr>
          <w:p w14:paraId="29440373">
            <w:pPr>
              <w:pStyle w:val="11"/>
              <w:widowControl w:val="0"/>
              <w:kinsoku/>
              <w:autoSpaceDE/>
              <w:autoSpaceDN/>
              <w:spacing w:line="23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企业开停工、检维修期间，按照要求及时收集处理退料、清洗、吹扫等作业产生的VOCs废气。</w:t>
            </w:r>
          </w:p>
        </w:tc>
        <w:tc>
          <w:tcPr>
            <w:tcW w:w="1066" w:type="dxa"/>
            <w:vAlign w:val="center"/>
          </w:tcPr>
          <w:p w14:paraId="2F9F0E5D">
            <w:pPr>
              <w:pStyle w:val="11"/>
              <w:widowControl w:val="0"/>
              <w:kinsoku/>
              <w:autoSpaceDE/>
              <w:autoSpaceDN/>
              <w:spacing w:line="23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511ED75A">
            <w:pPr>
              <w:widowControl w:val="0"/>
              <w:kinsoku/>
              <w:autoSpaceDE/>
              <w:autoSpaceDN/>
              <w:spacing w:line="23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2CB66B5B">
            <w:pPr>
              <w:widowControl w:val="0"/>
              <w:kinsoku/>
              <w:autoSpaceDE/>
              <w:autoSpaceDN/>
              <w:spacing w:line="23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163640D4">
            <w:pPr>
              <w:widowControl w:val="0"/>
              <w:kinsoku/>
              <w:autoSpaceDE/>
              <w:autoSpaceDN/>
              <w:spacing w:line="230" w:lineRule="exact"/>
              <w:jc w:val="center"/>
              <w:rPr>
                <w:rFonts w:ascii="Times New Roman" w:hAnsi="Times New Roman" w:cs="Times New Roman" w:eastAsiaTheme="minorEastAsia"/>
                <w:color w:val="000000" w:themeColor="text1"/>
                <w:spacing w:val="-6"/>
              </w:rPr>
            </w:pPr>
          </w:p>
        </w:tc>
      </w:tr>
      <w:tr w14:paraId="1BEC11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90" w:hRule="atLeast"/>
        </w:trPr>
        <w:tc>
          <w:tcPr>
            <w:tcW w:w="390" w:type="dxa"/>
            <w:vMerge w:val="restart"/>
            <w:vAlign w:val="center"/>
          </w:tcPr>
          <w:p w14:paraId="7A8E0236">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52</w:t>
            </w:r>
          </w:p>
        </w:tc>
        <w:tc>
          <w:tcPr>
            <w:tcW w:w="885" w:type="dxa"/>
            <w:vMerge w:val="continue"/>
            <w:vAlign w:val="center"/>
          </w:tcPr>
          <w:p w14:paraId="4E0D6D0D">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Merge w:val="restart"/>
            <w:vAlign w:val="center"/>
          </w:tcPr>
          <w:p w14:paraId="04521AE0">
            <w:pPr>
              <w:pStyle w:val="11"/>
              <w:widowControl w:val="0"/>
              <w:kinsoku/>
              <w:autoSpaceDE/>
              <w:autoSpaceDN/>
              <w:spacing w:line="23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优化含VOCs原辅材料和产品结构</w:t>
            </w:r>
          </w:p>
        </w:tc>
        <w:tc>
          <w:tcPr>
            <w:tcW w:w="2542" w:type="dxa"/>
            <w:vMerge w:val="restart"/>
            <w:vAlign w:val="center"/>
          </w:tcPr>
          <w:p w14:paraId="48559513">
            <w:pPr>
              <w:pStyle w:val="11"/>
              <w:widowControl w:val="0"/>
              <w:kinsoku/>
              <w:autoSpaceDE/>
              <w:autoSpaceDN/>
              <w:spacing w:line="23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控制生产和使用高VOCs含量的涂料、油墨、胶黏剂、清洗剂等建设项目。坚持应替尽替原则，在工业企业、汽修、市政工程等方面集中开展低挥发性原辅材料源头替代工作，强化源头治理，减少挥发性有机物排放。</w:t>
            </w:r>
          </w:p>
        </w:tc>
        <w:tc>
          <w:tcPr>
            <w:tcW w:w="3788" w:type="dxa"/>
            <w:vAlign w:val="center"/>
          </w:tcPr>
          <w:p w14:paraId="2F922AC0">
            <w:pPr>
              <w:pStyle w:val="11"/>
              <w:widowControl w:val="0"/>
              <w:kinsoku/>
              <w:autoSpaceDE/>
              <w:autoSpaceDN/>
              <w:spacing w:line="23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区数据和行政审批局按职责权限负责高VOCs含量的涂料、油墨、胶黏剂、清洗剂等项目立项审批。</w:t>
            </w:r>
          </w:p>
        </w:tc>
        <w:tc>
          <w:tcPr>
            <w:tcW w:w="1066" w:type="dxa"/>
            <w:vAlign w:val="center"/>
          </w:tcPr>
          <w:p w14:paraId="78164756">
            <w:pPr>
              <w:pStyle w:val="11"/>
              <w:widowControl w:val="0"/>
              <w:kinsoku/>
              <w:autoSpaceDE/>
              <w:autoSpaceDN/>
              <w:spacing w:line="23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165F38CF">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3F78ADBC">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279FB555">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区数据和行政审批局</w:t>
            </w:r>
          </w:p>
          <w:p w14:paraId="1CA20800">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3C8C4B80">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481611D6">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5A12BB1A">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26622B7D">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p w14:paraId="11281B9E">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tc>
        <w:tc>
          <w:tcPr>
            <w:tcW w:w="1359" w:type="dxa"/>
            <w:vMerge w:val="restart"/>
            <w:tcBorders>
              <w:bottom w:val="nil"/>
            </w:tcBorders>
            <w:vAlign w:val="center"/>
          </w:tcPr>
          <w:p w14:paraId="3518A2FE">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3B39DF72">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6FE35A5A">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48FA8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122" w:hRule="atLeast"/>
        </w:trPr>
        <w:tc>
          <w:tcPr>
            <w:tcW w:w="390" w:type="dxa"/>
            <w:vMerge w:val="continue"/>
            <w:vAlign w:val="center"/>
          </w:tcPr>
          <w:p w14:paraId="3B1A694E">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7903DE88">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0F2A6CBD">
            <w:pPr>
              <w:pStyle w:val="11"/>
              <w:widowControl w:val="0"/>
              <w:kinsoku/>
              <w:autoSpaceDE/>
              <w:autoSpaceDN/>
              <w:spacing w:line="23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472080DE">
            <w:pPr>
              <w:pStyle w:val="11"/>
              <w:widowControl w:val="0"/>
              <w:kinsoku/>
              <w:autoSpaceDE/>
              <w:autoSpaceDN/>
              <w:spacing w:line="230" w:lineRule="exact"/>
              <w:jc w:val="both"/>
              <w:rPr>
                <w:rFonts w:ascii="Times New Roman" w:hAnsi="Times New Roman" w:cs="Times New Roman" w:eastAsiaTheme="minorEastAsia"/>
                <w:color w:val="000000" w:themeColor="text1"/>
                <w:spacing w:val="-6"/>
              </w:rPr>
            </w:pPr>
          </w:p>
        </w:tc>
        <w:tc>
          <w:tcPr>
            <w:tcW w:w="3788" w:type="dxa"/>
            <w:vAlign w:val="center"/>
          </w:tcPr>
          <w:p w14:paraId="4B81A57B">
            <w:pPr>
              <w:pStyle w:val="11"/>
              <w:widowControl w:val="0"/>
              <w:kinsoku/>
              <w:autoSpaceDE/>
              <w:autoSpaceDN/>
              <w:spacing w:line="23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区交通局负责组织持续推进汽修企业水性面漆源头替代，2025年12月底前含喷涂工艺的汽修企业面漆全部实现水性涂料替代。</w:t>
            </w:r>
          </w:p>
        </w:tc>
        <w:tc>
          <w:tcPr>
            <w:tcW w:w="1066" w:type="dxa"/>
            <w:vAlign w:val="center"/>
          </w:tcPr>
          <w:p w14:paraId="712BC5B0">
            <w:pPr>
              <w:pStyle w:val="11"/>
              <w:widowControl w:val="0"/>
              <w:kinsoku/>
              <w:autoSpaceDE/>
              <w:autoSpaceDN/>
              <w:spacing w:line="23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2025年12月底</w:t>
            </w:r>
          </w:p>
        </w:tc>
        <w:tc>
          <w:tcPr>
            <w:tcW w:w="1484" w:type="dxa"/>
            <w:vMerge w:val="continue"/>
            <w:tcBorders>
              <w:top w:val="nil"/>
              <w:bottom w:val="nil"/>
            </w:tcBorders>
            <w:vAlign w:val="center"/>
          </w:tcPr>
          <w:p w14:paraId="6BA34BC3">
            <w:pPr>
              <w:widowControl w:val="0"/>
              <w:kinsoku/>
              <w:autoSpaceDE/>
              <w:autoSpaceDN/>
              <w:spacing w:line="23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1B68E8A3">
            <w:pPr>
              <w:widowControl w:val="0"/>
              <w:kinsoku/>
              <w:autoSpaceDE/>
              <w:autoSpaceDN/>
              <w:spacing w:line="23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3968D913">
            <w:pPr>
              <w:widowControl w:val="0"/>
              <w:kinsoku/>
              <w:autoSpaceDE/>
              <w:autoSpaceDN/>
              <w:spacing w:line="230" w:lineRule="exact"/>
              <w:jc w:val="center"/>
              <w:rPr>
                <w:rFonts w:ascii="Times New Roman" w:hAnsi="Times New Roman" w:cs="Times New Roman" w:eastAsiaTheme="minorEastAsia"/>
                <w:color w:val="000000" w:themeColor="text1"/>
                <w:spacing w:val="-6"/>
              </w:rPr>
            </w:pPr>
          </w:p>
        </w:tc>
      </w:tr>
      <w:tr w14:paraId="5A4D1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475" w:hRule="atLeast"/>
        </w:trPr>
        <w:tc>
          <w:tcPr>
            <w:tcW w:w="390" w:type="dxa"/>
            <w:vMerge w:val="continue"/>
            <w:vAlign w:val="center"/>
          </w:tcPr>
          <w:p w14:paraId="7323576C">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0B64AAEC">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67D3173B">
            <w:pPr>
              <w:pStyle w:val="11"/>
              <w:widowControl w:val="0"/>
              <w:kinsoku/>
              <w:autoSpaceDE/>
              <w:autoSpaceDN/>
              <w:spacing w:line="23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574A8F9B">
            <w:pPr>
              <w:pStyle w:val="11"/>
              <w:widowControl w:val="0"/>
              <w:kinsoku/>
              <w:autoSpaceDE/>
              <w:autoSpaceDN/>
              <w:spacing w:line="230" w:lineRule="exact"/>
              <w:jc w:val="both"/>
              <w:rPr>
                <w:rFonts w:ascii="Times New Roman" w:hAnsi="Times New Roman" w:cs="Times New Roman" w:eastAsiaTheme="minorEastAsia"/>
                <w:color w:val="000000" w:themeColor="text1"/>
                <w:spacing w:val="-6"/>
              </w:rPr>
            </w:pPr>
          </w:p>
        </w:tc>
        <w:tc>
          <w:tcPr>
            <w:tcW w:w="3788" w:type="dxa"/>
            <w:vAlign w:val="center"/>
          </w:tcPr>
          <w:p w14:paraId="2D95C57B">
            <w:pPr>
              <w:pStyle w:val="11"/>
              <w:widowControl w:val="0"/>
              <w:kinsoku/>
              <w:autoSpaceDE/>
              <w:autoSpaceDN/>
              <w:spacing w:line="23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区交通局、区城管执法局、区水务局分工负责在房屋建筑和市政工程中，全面推广使用低VOCs含量涂料和胶粘剂；除特殊功能要求外的室内地坪施工、室外构筑物防护和城市道路交通标志使用低VOCs含量涂料。</w:t>
            </w:r>
          </w:p>
        </w:tc>
        <w:tc>
          <w:tcPr>
            <w:tcW w:w="1066" w:type="dxa"/>
            <w:vAlign w:val="center"/>
          </w:tcPr>
          <w:p w14:paraId="55CA78A9">
            <w:pPr>
              <w:pStyle w:val="11"/>
              <w:widowControl w:val="0"/>
              <w:kinsoku/>
              <w:autoSpaceDE/>
              <w:autoSpaceDN/>
              <w:spacing w:line="23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785C9120">
            <w:pPr>
              <w:widowControl w:val="0"/>
              <w:kinsoku/>
              <w:autoSpaceDE/>
              <w:autoSpaceDN/>
              <w:spacing w:line="23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705A29D7">
            <w:pPr>
              <w:widowControl w:val="0"/>
              <w:kinsoku/>
              <w:autoSpaceDE/>
              <w:autoSpaceDN/>
              <w:spacing w:line="23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39E1861D">
            <w:pPr>
              <w:widowControl w:val="0"/>
              <w:kinsoku/>
              <w:autoSpaceDE/>
              <w:autoSpaceDN/>
              <w:spacing w:line="230" w:lineRule="exact"/>
              <w:jc w:val="center"/>
              <w:rPr>
                <w:rFonts w:ascii="Times New Roman" w:hAnsi="Times New Roman" w:cs="Times New Roman" w:eastAsiaTheme="minorEastAsia"/>
                <w:color w:val="000000" w:themeColor="text1"/>
                <w:spacing w:val="-6"/>
              </w:rPr>
            </w:pPr>
          </w:p>
        </w:tc>
      </w:tr>
      <w:tr w14:paraId="024CAA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597" w:hRule="atLeast"/>
        </w:trPr>
        <w:tc>
          <w:tcPr>
            <w:tcW w:w="390" w:type="dxa"/>
            <w:vMerge w:val="continue"/>
            <w:vAlign w:val="center"/>
          </w:tcPr>
          <w:p w14:paraId="4DF31DB0">
            <w:pPr>
              <w:widowControl w:val="0"/>
              <w:kinsoku/>
              <w:autoSpaceDE/>
              <w:autoSpaceDN/>
              <w:spacing w:line="270" w:lineRule="exact"/>
              <w:jc w:val="center"/>
              <w:textAlignment w:val="center"/>
              <w:rPr>
                <w:rFonts w:ascii="Times New Roman" w:hAnsi="Times New Roman" w:cs="Times New Roman" w:eastAsiaTheme="minorEastAsia"/>
                <w:color w:val="000000" w:themeColor="text1"/>
                <w:spacing w:val="-6"/>
              </w:rPr>
            </w:pPr>
          </w:p>
        </w:tc>
        <w:tc>
          <w:tcPr>
            <w:tcW w:w="885" w:type="dxa"/>
            <w:vMerge w:val="continue"/>
            <w:tcBorders>
              <w:bottom w:val="single" w:color="auto" w:sz="4" w:space="0"/>
            </w:tcBorders>
            <w:vAlign w:val="center"/>
          </w:tcPr>
          <w:p w14:paraId="624508B6">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3C3274A7">
            <w:pPr>
              <w:widowControl w:val="0"/>
              <w:kinsoku/>
              <w:autoSpaceDE/>
              <w:autoSpaceDN/>
              <w:spacing w:line="23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5486BF6F">
            <w:pPr>
              <w:widowControl w:val="0"/>
              <w:kinsoku/>
              <w:autoSpaceDE/>
              <w:autoSpaceDN/>
              <w:spacing w:line="230" w:lineRule="exact"/>
              <w:jc w:val="both"/>
              <w:rPr>
                <w:rFonts w:ascii="Times New Roman" w:hAnsi="Times New Roman" w:cs="Times New Roman" w:eastAsiaTheme="minorEastAsia"/>
                <w:color w:val="000000" w:themeColor="text1"/>
                <w:spacing w:val="-6"/>
              </w:rPr>
            </w:pPr>
          </w:p>
        </w:tc>
        <w:tc>
          <w:tcPr>
            <w:tcW w:w="3788" w:type="dxa"/>
            <w:vAlign w:val="center"/>
          </w:tcPr>
          <w:p w14:paraId="5AC1498C">
            <w:pPr>
              <w:pStyle w:val="11"/>
              <w:widowControl w:val="0"/>
              <w:kinsoku/>
              <w:autoSpaceDE/>
              <w:autoSpaceDN/>
              <w:spacing w:line="23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持续推进汽车整车制造、工业涂装、包装印刷、汽车零部件、工程机械、钢结构等行业开展低挥发性原辅材料源头替代工作，做到“应替尽替”。</w:t>
            </w:r>
          </w:p>
        </w:tc>
        <w:tc>
          <w:tcPr>
            <w:tcW w:w="1066" w:type="dxa"/>
            <w:vAlign w:val="center"/>
          </w:tcPr>
          <w:p w14:paraId="2197E490">
            <w:pPr>
              <w:pStyle w:val="11"/>
              <w:widowControl w:val="0"/>
              <w:kinsoku/>
              <w:autoSpaceDE/>
              <w:autoSpaceDN/>
              <w:spacing w:line="23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tcBorders>
              <w:top w:val="nil"/>
            </w:tcBorders>
            <w:vAlign w:val="center"/>
          </w:tcPr>
          <w:p w14:paraId="05641F7D">
            <w:pPr>
              <w:pStyle w:val="11"/>
              <w:widowControl w:val="0"/>
              <w:kinsoku/>
              <w:autoSpaceDE/>
              <w:autoSpaceDN/>
              <w:spacing w:line="23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lang w:eastAsia="zh-CN"/>
              </w:rPr>
              <w:t>区工信商务局</w:t>
            </w:r>
          </w:p>
        </w:tc>
        <w:tc>
          <w:tcPr>
            <w:tcW w:w="1596" w:type="dxa"/>
            <w:tcBorders>
              <w:top w:val="nil"/>
            </w:tcBorders>
            <w:vAlign w:val="center"/>
          </w:tcPr>
          <w:p w14:paraId="39ACC91C">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p w14:paraId="152AC17E">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p w14:paraId="4CE55537">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5A3032CD">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05910D61">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14EE586A">
            <w:pPr>
              <w:pStyle w:val="11"/>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p w14:paraId="773696EE">
            <w:pPr>
              <w:widowControl w:val="0"/>
              <w:kinsoku/>
              <w:autoSpaceDE/>
              <w:autoSpaceDN/>
              <w:spacing w:line="23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lang w:eastAsia="zh-CN"/>
              </w:rPr>
              <w:t>区市场监管局</w:t>
            </w:r>
          </w:p>
        </w:tc>
        <w:tc>
          <w:tcPr>
            <w:tcW w:w="1359" w:type="dxa"/>
            <w:tcBorders>
              <w:top w:val="nil"/>
            </w:tcBorders>
            <w:vAlign w:val="center"/>
          </w:tcPr>
          <w:p w14:paraId="22FE4FE7">
            <w:pPr>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4B6999FC">
            <w:pPr>
              <w:widowControl w:val="0"/>
              <w:kinsoku/>
              <w:autoSpaceDE/>
              <w:autoSpaceDN/>
              <w:spacing w:line="23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1BBDDD98">
            <w:pPr>
              <w:widowControl w:val="0"/>
              <w:kinsoku/>
              <w:autoSpaceDE/>
              <w:autoSpaceDN/>
              <w:spacing w:line="23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lang w:eastAsia="zh-CN"/>
              </w:rPr>
              <w:t>各园区管委会</w:t>
            </w:r>
          </w:p>
        </w:tc>
      </w:tr>
      <w:tr w14:paraId="4F188B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17BBADB7">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53</w:t>
            </w:r>
          </w:p>
        </w:tc>
        <w:tc>
          <w:tcPr>
            <w:tcW w:w="885" w:type="dxa"/>
            <w:vMerge w:val="restart"/>
            <w:tcBorders>
              <w:top w:val="single" w:color="auto" w:sz="4" w:space="0"/>
            </w:tcBorders>
            <w:vAlign w:val="center"/>
          </w:tcPr>
          <w:p w14:paraId="57EC8E22">
            <w:pPr>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夏季臭氧应对行动</w:t>
            </w:r>
          </w:p>
        </w:tc>
        <w:tc>
          <w:tcPr>
            <w:tcW w:w="1432" w:type="dxa"/>
            <w:vMerge w:val="restart"/>
            <w:tcBorders>
              <w:bottom w:val="nil"/>
            </w:tcBorders>
            <w:vAlign w:val="center"/>
          </w:tcPr>
          <w:p w14:paraId="0AAE5A11">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推进重点时段协商重点涉气企业减排</w:t>
            </w:r>
          </w:p>
        </w:tc>
        <w:tc>
          <w:tcPr>
            <w:tcW w:w="2542" w:type="dxa"/>
            <w:vMerge w:val="restart"/>
            <w:tcBorders>
              <w:bottom w:val="nil"/>
            </w:tcBorders>
            <w:vAlign w:val="center"/>
          </w:tcPr>
          <w:p w14:paraId="3BEEFD41">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夏防期间，重点时段协商重点涉气企业开展减排工作。</w:t>
            </w:r>
          </w:p>
        </w:tc>
        <w:tc>
          <w:tcPr>
            <w:tcW w:w="3788" w:type="dxa"/>
            <w:vAlign w:val="center"/>
          </w:tcPr>
          <w:p w14:paraId="26BBD6DD">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3月底前，石化、化工企业提前制定全年开停车、检维修计划，并向生态环境分局报告，在确保安全的前提下，尽可能不在臭氧污染高发时段（5月至9月）及（12月至次年1月）安排全厂开停车、装置整体停工检修和储罐清洗作业。</w:t>
            </w:r>
          </w:p>
        </w:tc>
        <w:tc>
          <w:tcPr>
            <w:tcW w:w="1066" w:type="dxa"/>
            <w:vAlign w:val="center"/>
          </w:tcPr>
          <w:p w14:paraId="50953E7F">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2025年3月底</w:t>
            </w:r>
          </w:p>
        </w:tc>
        <w:tc>
          <w:tcPr>
            <w:tcW w:w="1484" w:type="dxa"/>
            <w:vMerge w:val="restart"/>
            <w:tcBorders>
              <w:bottom w:val="nil"/>
            </w:tcBorders>
            <w:vAlign w:val="center"/>
          </w:tcPr>
          <w:p w14:paraId="387F58C4">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4203B913">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p w14:paraId="31B07468">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5424649C">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7BE97AC5">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13770CE1">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6C01DBE2">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tc>
        <w:tc>
          <w:tcPr>
            <w:tcW w:w="1359" w:type="dxa"/>
            <w:vMerge w:val="restart"/>
            <w:tcBorders>
              <w:bottom w:val="nil"/>
            </w:tcBorders>
            <w:vAlign w:val="center"/>
          </w:tcPr>
          <w:p w14:paraId="4D1D4940">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5A2F5A62">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68B6CD76">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58D17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6193DD90">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75AE6444">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4979C3D5">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7625844E">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3788" w:type="dxa"/>
            <w:vAlign w:val="center"/>
          </w:tcPr>
          <w:p w14:paraId="43A3D5E1">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组织全区相关行业企业合理制定错时施工计划。结合夏季空气质量趋势预测情况，引导辖区相关涉气工业企业合理调整涉VOCs排放作业时段；引导全区给排水管道工程、大中型装修工程、外立面改造工程、道路画线作业、道路沥青铺设作业，加油站、汽修等作业中涉及VOCs排放的工序合理安排施工时间。</w:t>
            </w:r>
          </w:p>
        </w:tc>
        <w:tc>
          <w:tcPr>
            <w:tcW w:w="1066" w:type="dxa"/>
            <w:vAlign w:val="center"/>
          </w:tcPr>
          <w:p w14:paraId="68BC2C14">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夏防期</w:t>
            </w:r>
          </w:p>
        </w:tc>
        <w:tc>
          <w:tcPr>
            <w:tcW w:w="1484" w:type="dxa"/>
            <w:vMerge w:val="continue"/>
            <w:tcBorders>
              <w:top w:val="nil"/>
            </w:tcBorders>
            <w:vAlign w:val="center"/>
          </w:tcPr>
          <w:p w14:paraId="614E6BF2">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0989FD7F">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7BAC93F1">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r>
      <w:tr w14:paraId="2F32F1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256" w:hRule="atLeast"/>
        </w:trPr>
        <w:tc>
          <w:tcPr>
            <w:tcW w:w="390" w:type="dxa"/>
            <w:vMerge w:val="restart"/>
            <w:tcBorders>
              <w:bottom w:val="nil"/>
            </w:tcBorders>
            <w:vAlign w:val="center"/>
          </w:tcPr>
          <w:p w14:paraId="6B823347">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54</w:t>
            </w:r>
          </w:p>
        </w:tc>
        <w:tc>
          <w:tcPr>
            <w:tcW w:w="885" w:type="dxa"/>
            <w:vMerge w:val="continue"/>
            <w:vAlign w:val="center"/>
          </w:tcPr>
          <w:p w14:paraId="7CDF56AB">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restart"/>
            <w:tcBorders>
              <w:bottom w:val="nil"/>
            </w:tcBorders>
            <w:vAlign w:val="center"/>
          </w:tcPr>
          <w:p w14:paraId="601ABE1D">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加强恶臭异味污染治理</w:t>
            </w:r>
          </w:p>
        </w:tc>
        <w:tc>
          <w:tcPr>
            <w:tcW w:w="2542" w:type="dxa"/>
            <w:vMerge w:val="restart"/>
            <w:tcBorders>
              <w:bottom w:val="nil"/>
            </w:tcBorders>
            <w:vAlign w:val="center"/>
          </w:tcPr>
          <w:p w14:paraId="1B40F167">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开展工业企业恶臭异味扰民问题排查整治。投诉集中的工业园区、重点企业要安装运行在线监测系统。</w:t>
            </w:r>
          </w:p>
        </w:tc>
        <w:tc>
          <w:tcPr>
            <w:tcW w:w="3788" w:type="dxa"/>
            <w:vAlign w:val="center"/>
          </w:tcPr>
          <w:p w14:paraId="4BFA579B">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2025年3月底前，结合近3年信访投诉情况，开展工业企业恶臭异味扰民问题排查，5月底前完成对发现问题的整治。</w:t>
            </w:r>
          </w:p>
        </w:tc>
        <w:tc>
          <w:tcPr>
            <w:tcW w:w="1066" w:type="dxa"/>
            <w:vAlign w:val="center"/>
          </w:tcPr>
          <w:p w14:paraId="20E27C6E">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2025年5月底</w:t>
            </w:r>
          </w:p>
        </w:tc>
        <w:tc>
          <w:tcPr>
            <w:tcW w:w="1484" w:type="dxa"/>
            <w:vMerge w:val="restart"/>
            <w:tcBorders>
              <w:bottom w:val="nil"/>
            </w:tcBorders>
            <w:vAlign w:val="center"/>
          </w:tcPr>
          <w:p w14:paraId="3D1712AD">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7744D4C5">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区城管局</w:t>
            </w:r>
          </w:p>
        </w:tc>
        <w:tc>
          <w:tcPr>
            <w:tcW w:w="1359" w:type="dxa"/>
            <w:vMerge w:val="restart"/>
            <w:tcBorders>
              <w:bottom w:val="nil"/>
            </w:tcBorders>
            <w:vAlign w:val="center"/>
          </w:tcPr>
          <w:p w14:paraId="0308623E">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1943F340">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51F0A809">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FDDCA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118" w:hRule="atLeast"/>
        </w:trPr>
        <w:tc>
          <w:tcPr>
            <w:tcW w:w="390" w:type="dxa"/>
            <w:vMerge w:val="continue"/>
            <w:tcBorders>
              <w:top w:val="nil"/>
            </w:tcBorders>
            <w:vAlign w:val="center"/>
          </w:tcPr>
          <w:p w14:paraId="18BD272B">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594FEB62">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69EBAE7C">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0F46DBB7">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3788" w:type="dxa"/>
            <w:vAlign w:val="center"/>
          </w:tcPr>
          <w:p w14:paraId="5CFBDA93">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结合近3年信访投诉情况，5月底前对投诉集中的工业园区、重点企业要安装运行在线监测系统。</w:t>
            </w:r>
          </w:p>
        </w:tc>
        <w:tc>
          <w:tcPr>
            <w:tcW w:w="1066" w:type="dxa"/>
            <w:vAlign w:val="center"/>
          </w:tcPr>
          <w:p w14:paraId="52DF47CD">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2025年5月底</w:t>
            </w:r>
          </w:p>
        </w:tc>
        <w:tc>
          <w:tcPr>
            <w:tcW w:w="1484" w:type="dxa"/>
            <w:vMerge w:val="continue"/>
            <w:tcBorders>
              <w:top w:val="nil"/>
            </w:tcBorders>
            <w:vAlign w:val="center"/>
          </w:tcPr>
          <w:p w14:paraId="28FFEDAA">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263E22B5">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41042C28">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r>
      <w:tr w14:paraId="6EBEF9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26DE78F7">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55</w:t>
            </w:r>
          </w:p>
        </w:tc>
        <w:tc>
          <w:tcPr>
            <w:tcW w:w="885" w:type="dxa"/>
            <w:vMerge w:val="continue"/>
            <w:vAlign w:val="center"/>
          </w:tcPr>
          <w:p w14:paraId="6431C662">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restart"/>
            <w:tcBorders>
              <w:bottom w:val="nil"/>
            </w:tcBorders>
            <w:vAlign w:val="center"/>
          </w:tcPr>
          <w:p w14:paraId="4101C2E6">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加强油气回收监管</w:t>
            </w:r>
          </w:p>
        </w:tc>
        <w:tc>
          <w:tcPr>
            <w:tcW w:w="2542" w:type="dxa"/>
            <w:vMerge w:val="restart"/>
            <w:tcBorders>
              <w:bottom w:val="nil"/>
            </w:tcBorders>
            <w:vAlign w:val="center"/>
          </w:tcPr>
          <w:p w14:paraId="0F6FDAB0">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突出油气回收监管，持续开展储油库、油罐车、加油站油气回收装置专项检查工作，减少油气逸散。</w:t>
            </w:r>
          </w:p>
        </w:tc>
        <w:tc>
          <w:tcPr>
            <w:tcW w:w="3788" w:type="dxa"/>
            <w:vAlign w:val="center"/>
          </w:tcPr>
          <w:p w14:paraId="419F7544">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组织加油站、储油库、油罐车企业开展自查。</w:t>
            </w:r>
          </w:p>
        </w:tc>
        <w:tc>
          <w:tcPr>
            <w:tcW w:w="1066" w:type="dxa"/>
            <w:vAlign w:val="center"/>
          </w:tcPr>
          <w:p w14:paraId="541D6A23">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w:t>
            </w:r>
            <w:r>
              <w:rPr>
                <w:rFonts w:ascii="Times New Roman" w:hAnsi="Times New Roman" w:cs="Times New Roman" w:eastAsiaTheme="minorEastAsia"/>
                <w:color w:val="000000" w:themeColor="text1"/>
                <w:spacing w:val="-6"/>
                <w:lang w:eastAsia="zh-CN"/>
              </w:rPr>
              <w:t>4</w:t>
            </w:r>
            <w:r>
              <w:rPr>
                <w:rFonts w:ascii="Times New Roman" w:hAnsi="Times New Roman" w:cs="Times New Roman" w:eastAsiaTheme="minorEastAsia"/>
                <w:color w:val="000000" w:themeColor="text1"/>
                <w:spacing w:val="-6"/>
              </w:rPr>
              <w:t>月底</w:t>
            </w:r>
          </w:p>
        </w:tc>
        <w:tc>
          <w:tcPr>
            <w:tcW w:w="1484" w:type="dxa"/>
            <w:vMerge w:val="restart"/>
            <w:tcBorders>
              <w:bottom w:val="nil"/>
            </w:tcBorders>
            <w:vAlign w:val="center"/>
          </w:tcPr>
          <w:p w14:paraId="6DC5D606">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p w14:paraId="70495F2E">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596" w:type="dxa"/>
            <w:vMerge w:val="restart"/>
            <w:tcBorders>
              <w:bottom w:val="nil"/>
            </w:tcBorders>
            <w:vAlign w:val="center"/>
          </w:tcPr>
          <w:p w14:paraId="095134A3">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578252B3">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359" w:type="dxa"/>
            <w:vMerge w:val="restart"/>
            <w:vAlign w:val="center"/>
          </w:tcPr>
          <w:p w14:paraId="40C2F7B4">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6EC0BCBB">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57E91034">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8DBC5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bottom w:val="nil"/>
            </w:tcBorders>
            <w:vAlign w:val="center"/>
          </w:tcPr>
          <w:p w14:paraId="57FEFC47">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50048684">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bottom w:val="nil"/>
            </w:tcBorders>
            <w:vAlign w:val="center"/>
          </w:tcPr>
          <w:p w14:paraId="71EB23E2">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nil"/>
            </w:tcBorders>
            <w:vAlign w:val="center"/>
          </w:tcPr>
          <w:p w14:paraId="52ED0DE1">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vAlign w:val="center"/>
          </w:tcPr>
          <w:p w14:paraId="68D43229">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开展一次储运销环节油气回收专项执法检查。</w:t>
            </w:r>
          </w:p>
        </w:tc>
        <w:tc>
          <w:tcPr>
            <w:tcW w:w="1066" w:type="dxa"/>
            <w:vAlign w:val="center"/>
          </w:tcPr>
          <w:p w14:paraId="798D33D7">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2025年4月底</w:t>
            </w:r>
          </w:p>
        </w:tc>
        <w:tc>
          <w:tcPr>
            <w:tcW w:w="1484" w:type="dxa"/>
            <w:vMerge w:val="continue"/>
            <w:tcBorders>
              <w:top w:val="nil"/>
              <w:bottom w:val="nil"/>
            </w:tcBorders>
            <w:vAlign w:val="center"/>
          </w:tcPr>
          <w:p w14:paraId="6AC2BB96">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5DDB185E">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359" w:type="dxa"/>
            <w:vMerge w:val="continue"/>
            <w:vAlign w:val="center"/>
          </w:tcPr>
          <w:p w14:paraId="7EC62A50">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r>
      <w:tr w14:paraId="3A1AB9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774CE8C3">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bottom w:val="single" w:color="auto" w:sz="4" w:space="0"/>
            </w:tcBorders>
            <w:vAlign w:val="center"/>
          </w:tcPr>
          <w:p w14:paraId="5723213A">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390C126C">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30447FA6">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vAlign w:val="center"/>
          </w:tcPr>
          <w:p w14:paraId="35179182">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开展储油库企业LDAR监督性检测。</w:t>
            </w:r>
          </w:p>
        </w:tc>
        <w:tc>
          <w:tcPr>
            <w:tcW w:w="1066" w:type="dxa"/>
            <w:vAlign w:val="center"/>
          </w:tcPr>
          <w:p w14:paraId="1C0C153D">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2025年6月底</w:t>
            </w:r>
          </w:p>
        </w:tc>
        <w:tc>
          <w:tcPr>
            <w:tcW w:w="1484" w:type="dxa"/>
            <w:vMerge w:val="continue"/>
            <w:tcBorders>
              <w:top w:val="nil"/>
            </w:tcBorders>
            <w:vAlign w:val="center"/>
          </w:tcPr>
          <w:p w14:paraId="52E6E159">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16F324DF">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359" w:type="dxa"/>
            <w:vMerge w:val="continue"/>
            <w:vAlign w:val="center"/>
          </w:tcPr>
          <w:p w14:paraId="087584DE">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r>
      <w:tr w14:paraId="1AD8B5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0BB79629">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56</w:t>
            </w:r>
          </w:p>
        </w:tc>
        <w:tc>
          <w:tcPr>
            <w:tcW w:w="885" w:type="dxa"/>
            <w:vMerge w:val="restart"/>
            <w:tcBorders>
              <w:top w:val="single" w:color="auto" w:sz="4" w:space="0"/>
            </w:tcBorders>
            <w:vAlign w:val="center"/>
          </w:tcPr>
          <w:p w14:paraId="54D95E18">
            <w:pPr>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夏季臭氧应对行动</w:t>
            </w:r>
          </w:p>
        </w:tc>
        <w:tc>
          <w:tcPr>
            <w:tcW w:w="1432" w:type="dxa"/>
            <w:vMerge w:val="restart"/>
            <w:tcBorders>
              <w:bottom w:val="nil"/>
            </w:tcBorders>
            <w:vAlign w:val="center"/>
          </w:tcPr>
          <w:p w14:paraId="3F28999C">
            <w:pPr>
              <w:pStyle w:val="11"/>
              <w:widowControl w:val="0"/>
              <w:kinsoku/>
              <w:autoSpaceDE/>
              <w:autoSpaceDN/>
              <w:spacing w:line="26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打击黑加油站点</w:t>
            </w:r>
          </w:p>
        </w:tc>
        <w:tc>
          <w:tcPr>
            <w:tcW w:w="2542" w:type="dxa"/>
            <w:vMerge w:val="restart"/>
            <w:tcBorders>
              <w:bottom w:val="nil"/>
            </w:tcBorders>
            <w:vAlign w:val="center"/>
          </w:tcPr>
          <w:p w14:paraId="049AA0F4">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持续开展打击取缔黑加油站点、流动加油车工作，依法打击成品油违法经营行为，进一步规范成品油市场经营秩序。严格查处未取得危险化学品经营许可证从事危险化学品经营的违法经营活动。</w:t>
            </w:r>
          </w:p>
        </w:tc>
        <w:tc>
          <w:tcPr>
            <w:tcW w:w="3788" w:type="dxa"/>
            <w:vAlign w:val="center"/>
          </w:tcPr>
          <w:p w14:paraId="04E85A97">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常态化开展黑加油站点、流动加油车治理行动，依法打击成品油违法经营行为，规范成品油市场经营秩序。根据省、市成品油经营秩序整治工作安排部署，适时开展专项行动。</w:t>
            </w:r>
          </w:p>
        </w:tc>
        <w:tc>
          <w:tcPr>
            <w:tcW w:w="1066" w:type="dxa"/>
            <w:vAlign w:val="center"/>
          </w:tcPr>
          <w:p w14:paraId="4897C9C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7C6E49D7">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tc>
        <w:tc>
          <w:tcPr>
            <w:tcW w:w="1596" w:type="dxa"/>
            <w:vMerge w:val="restart"/>
            <w:tcBorders>
              <w:bottom w:val="nil"/>
            </w:tcBorders>
            <w:vAlign w:val="center"/>
          </w:tcPr>
          <w:p w14:paraId="56D6BD99">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p w14:paraId="3ACD17D5">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区应急管理局</w:t>
            </w:r>
          </w:p>
          <w:p w14:paraId="659F4A9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p w14:paraId="7453485A">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p w14:paraId="00A63B42">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7A66E79B">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tc>
        <w:tc>
          <w:tcPr>
            <w:tcW w:w="1359" w:type="dxa"/>
            <w:vMerge w:val="restart"/>
            <w:tcBorders>
              <w:bottom w:val="nil"/>
            </w:tcBorders>
            <w:vAlign w:val="center"/>
          </w:tcPr>
          <w:p w14:paraId="6D116AC5">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5E5D67FE">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3F603EDB">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4F9D88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065" w:hRule="atLeast"/>
        </w:trPr>
        <w:tc>
          <w:tcPr>
            <w:tcW w:w="390" w:type="dxa"/>
            <w:vMerge w:val="continue"/>
            <w:tcBorders>
              <w:top w:val="nil"/>
            </w:tcBorders>
            <w:vAlign w:val="center"/>
          </w:tcPr>
          <w:p w14:paraId="43B9386C">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62FC4E2B">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511B2DBD">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2694AC2B">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3788" w:type="dxa"/>
            <w:shd w:val="clear" w:color="auto" w:fill="auto"/>
            <w:vAlign w:val="center"/>
          </w:tcPr>
          <w:p w14:paraId="3CB78192">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排查纠治未按计划完成三次油气回收治理和地下油罐防渗改造的加油站。</w:t>
            </w:r>
          </w:p>
        </w:tc>
        <w:tc>
          <w:tcPr>
            <w:tcW w:w="1066" w:type="dxa"/>
            <w:vAlign w:val="center"/>
          </w:tcPr>
          <w:p w14:paraId="76A5D759">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43CB83DB">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060BD2F4">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4831A575">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r>
      <w:tr w14:paraId="3E5C51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749" w:hRule="atLeast"/>
        </w:trPr>
        <w:tc>
          <w:tcPr>
            <w:tcW w:w="390" w:type="dxa"/>
            <w:vMerge w:val="restart"/>
            <w:vAlign w:val="center"/>
          </w:tcPr>
          <w:p w14:paraId="74AB54B3">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57</w:t>
            </w:r>
          </w:p>
        </w:tc>
        <w:tc>
          <w:tcPr>
            <w:tcW w:w="885" w:type="dxa"/>
            <w:vMerge w:val="continue"/>
            <w:vAlign w:val="center"/>
          </w:tcPr>
          <w:p w14:paraId="037FCC73">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432" w:type="dxa"/>
            <w:vMerge w:val="restart"/>
            <w:vAlign w:val="center"/>
          </w:tcPr>
          <w:p w14:paraId="5949C237">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持续开展油品质量检查</w:t>
            </w:r>
          </w:p>
        </w:tc>
        <w:tc>
          <w:tcPr>
            <w:tcW w:w="2542" w:type="dxa"/>
            <w:vMerge w:val="restart"/>
            <w:vAlign w:val="center"/>
          </w:tcPr>
          <w:p w14:paraId="43426D8C">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执行汽柴油质量标准，对全区加油站销售的油品进行监督抽查，严厉打击生产、销售不合格油品行为。对全区流通环节油库油品质量开展全覆盖抽检。提升货车、非道路移动机械中柴油抽测频次，对发现的线索进行溯源，严厉追究相关生产、销售、运输者主体责任。</w:t>
            </w:r>
          </w:p>
        </w:tc>
        <w:tc>
          <w:tcPr>
            <w:tcW w:w="3788" w:type="dxa"/>
            <w:vAlign w:val="center"/>
          </w:tcPr>
          <w:p w14:paraId="6880C59C">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对全区流通环节油库油品质量开展全覆盖抽检。</w:t>
            </w:r>
          </w:p>
        </w:tc>
        <w:tc>
          <w:tcPr>
            <w:tcW w:w="1066" w:type="dxa"/>
            <w:vAlign w:val="center"/>
          </w:tcPr>
          <w:p w14:paraId="355300A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vAlign w:val="center"/>
          </w:tcPr>
          <w:p w14:paraId="471CB5DE">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tc>
        <w:tc>
          <w:tcPr>
            <w:tcW w:w="1596" w:type="dxa"/>
            <w:vMerge w:val="restart"/>
            <w:vAlign w:val="center"/>
          </w:tcPr>
          <w:p w14:paraId="7ACE767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p w14:paraId="5570ADA8">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p w14:paraId="76B4CA3F">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38C2F53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631ADF9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tc>
        <w:tc>
          <w:tcPr>
            <w:tcW w:w="1359" w:type="dxa"/>
            <w:vMerge w:val="restart"/>
            <w:vAlign w:val="center"/>
          </w:tcPr>
          <w:p w14:paraId="2CCE661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01874ECE">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62271EC8">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14DB46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827" w:hRule="atLeast"/>
        </w:trPr>
        <w:tc>
          <w:tcPr>
            <w:tcW w:w="390" w:type="dxa"/>
            <w:vMerge w:val="continue"/>
            <w:vAlign w:val="center"/>
          </w:tcPr>
          <w:p w14:paraId="71AEB33A">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563C1545">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21FF4857">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1C1B2AA7">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3788" w:type="dxa"/>
            <w:vAlign w:val="center"/>
          </w:tcPr>
          <w:p w14:paraId="5DB1F538">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全年抽检车用燃油不少于80批次，确保全区加油站抽检全覆盖。</w:t>
            </w:r>
          </w:p>
        </w:tc>
        <w:tc>
          <w:tcPr>
            <w:tcW w:w="1066" w:type="dxa"/>
            <w:vAlign w:val="center"/>
          </w:tcPr>
          <w:p w14:paraId="05403AE8">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vAlign w:val="center"/>
          </w:tcPr>
          <w:p w14:paraId="2340312E">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596" w:type="dxa"/>
            <w:vMerge w:val="continue"/>
            <w:vAlign w:val="center"/>
          </w:tcPr>
          <w:p w14:paraId="1904722B">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359" w:type="dxa"/>
            <w:vMerge w:val="continue"/>
            <w:vAlign w:val="center"/>
          </w:tcPr>
          <w:p w14:paraId="60F9A0B7">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r>
      <w:tr w14:paraId="7DF8B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122" w:hRule="atLeast"/>
        </w:trPr>
        <w:tc>
          <w:tcPr>
            <w:tcW w:w="390" w:type="dxa"/>
            <w:vMerge w:val="continue"/>
            <w:vAlign w:val="center"/>
          </w:tcPr>
          <w:p w14:paraId="4E2A6CE1">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20B1A7F3">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4310FFA2">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1A593E98">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3788" w:type="dxa"/>
            <w:vAlign w:val="center"/>
          </w:tcPr>
          <w:p w14:paraId="314996F7">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对柴油货车及非道路移动机械开展油箱内油品抽验，全年抽验车用燃油不少于10批次。</w:t>
            </w:r>
          </w:p>
        </w:tc>
        <w:tc>
          <w:tcPr>
            <w:tcW w:w="1066" w:type="dxa"/>
            <w:vAlign w:val="center"/>
          </w:tcPr>
          <w:p w14:paraId="5C3540C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vAlign w:val="center"/>
          </w:tcPr>
          <w:p w14:paraId="2B6B611D">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596" w:type="dxa"/>
            <w:vMerge w:val="continue"/>
            <w:vAlign w:val="center"/>
          </w:tcPr>
          <w:p w14:paraId="532C9D40">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359" w:type="dxa"/>
            <w:vMerge w:val="continue"/>
            <w:vAlign w:val="center"/>
          </w:tcPr>
          <w:p w14:paraId="0ED056AF">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r>
      <w:tr w14:paraId="5DE442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vAlign w:val="center"/>
          </w:tcPr>
          <w:p w14:paraId="2F4F6564">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2CA5044F">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1390A27B">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45B9B0E5">
            <w:pPr>
              <w:pStyle w:val="11"/>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3788" w:type="dxa"/>
            <w:vAlign w:val="center"/>
          </w:tcPr>
          <w:p w14:paraId="54AB1FF9">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对发现的非标油问题线索进行追溯，查处劣质油品存储销售集散地和生产加工企业。</w:t>
            </w:r>
          </w:p>
        </w:tc>
        <w:tc>
          <w:tcPr>
            <w:tcW w:w="1066" w:type="dxa"/>
            <w:vAlign w:val="center"/>
          </w:tcPr>
          <w:p w14:paraId="10EAEB8A">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p w14:paraId="12279071">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vAlign w:val="center"/>
          </w:tcPr>
          <w:p w14:paraId="4AFEBEBC">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596" w:type="dxa"/>
            <w:vMerge w:val="continue"/>
            <w:vAlign w:val="center"/>
          </w:tcPr>
          <w:p w14:paraId="7DCAE9CC">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359" w:type="dxa"/>
            <w:vMerge w:val="continue"/>
            <w:vAlign w:val="center"/>
          </w:tcPr>
          <w:p w14:paraId="21CFBAEB">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r>
      <w:tr w14:paraId="4ECB4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bottom w:val="single" w:color="auto" w:sz="4" w:space="0"/>
            </w:tcBorders>
            <w:vAlign w:val="center"/>
          </w:tcPr>
          <w:p w14:paraId="63C4E7A9">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bottom w:val="single" w:color="auto" w:sz="4" w:space="0"/>
            </w:tcBorders>
            <w:vAlign w:val="center"/>
          </w:tcPr>
          <w:p w14:paraId="00B04F9B">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bottom w:val="single" w:color="auto" w:sz="4" w:space="0"/>
            </w:tcBorders>
            <w:vAlign w:val="center"/>
          </w:tcPr>
          <w:p w14:paraId="7F1E293D">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79E3124C">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3788" w:type="dxa"/>
            <w:vAlign w:val="center"/>
          </w:tcPr>
          <w:p w14:paraId="2D80BE66">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加强城市间合作，开展联合执法，从源头杜绝假劣油品。</w:t>
            </w:r>
          </w:p>
        </w:tc>
        <w:tc>
          <w:tcPr>
            <w:tcW w:w="1066" w:type="dxa"/>
            <w:vAlign w:val="center"/>
          </w:tcPr>
          <w:p w14:paraId="4D722D5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vAlign w:val="center"/>
          </w:tcPr>
          <w:p w14:paraId="1BBA6A5C">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596" w:type="dxa"/>
            <w:vMerge w:val="continue"/>
            <w:vAlign w:val="center"/>
          </w:tcPr>
          <w:p w14:paraId="4EFFF3F8">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359" w:type="dxa"/>
            <w:vMerge w:val="continue"/>
            <w:vAlign w:val="center"/>
          </w:tcPr>
          <w:p w14:paraId="10D12206">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r>
      <w:tr w14:paraId="60DBBE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top w:val="single" w:color="auto" w:sz="4" w:space="0"/>
              <w:left w:val="single" w:color="auto" w:sz="4" w:space="0"/>
              <w:bottom w:val="single" w:color="auto" w:sz="4" w:space="0"/>
              <w:right w:val="single" w:color="auto" w:sz="4" w:space="0"/>
            </w:tcBorders>
            <w:vAlign w:val="center"/>
          </w:tcPr>
          <w:p w14:paraId="0F85EB43">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58</w:t>
            </w:r>
          </w:p>
        </w:tc>
        <w:tc>
          <w:tcPr>
            <w:tcW w:w="885" w:type="dxa"/>
            <w:vMerge w:val="continue"/>
            <w:tcBorders>
              <w:top w:val="single" w:color="auto" w:sz="4" w:space="0"/>
              <w:left w:val="single" w:color="auto" w:sz="4" w:space="0"/>
              <w:bottom w:val="single" w:color="auto" w:sz="4" w:space="0"/>
              <w:right w:val="single" w:color="auto" w:sz="4" w:space="0"/>
            </w:tcBorders>
            <w:vAlign w:val="center"/>
          </w:tcPr>
          <w:p w14:paraId="4BF0F5EE">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restart"/>
            <w:tcBorders>
              <w:top w:val="single" w:color="auto" w:sz="4" w:space="0"/>
              <w:left w:val="single" w:color="auto" w:sz="4" w:space="0"/>
              <w:bottom w:val="single" w:color="auto" w:sz="4" w:space="0"/>
              <w:right w:val="single" w:color="auto" w:sz="4" w:space="0"/>
            </w:tcBorders>
            <w:vAlign w:val="center"/>
          </w:tcPr>
          <w:p w14:paraId="7A582C31">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开展含挥发性有机物原辅材料达标情况联合检查</w:t>
            </w:r>
          </w:p>
        </w:tc>
        <w:tc>
          <w:tcPr>
            <w:tcW w:w="2542" w:type="dxa"/>
            <w:vMerge w:val="restart"/>
            <w:tcBorders>
              <w:left w:val="single" w:color="auto" w:sz="4" w:space="0"/>
              <w:bottom w:val="nil"/>
            </w:tcBorders>
            <w:vAlign w:val="center"/>
          </w:tcPr>
          <w:p w14:paraId="427D1584">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严格落实多部门联合执法机制，坚持市区两级联动，突出抓好相关产品生产、销售、使用环节挥发性有机物含量限值执行情况的监督检查，彻底纠治原辅材料不达标问题。</w:t>
            </w:r>
          </w:p>
        </w:tc>
        <w:tc>
          <w:tcPr>
            <w:tcW w:w="3788" w:type="dxa"/>
            <w:vAlign w:val="center"/>
          </w:tcPr>
          <w:p w14:paraId="790681D6">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采取市区两级联动方式，开展一次多部门联合执法行动，严格执行涂料、油墨、胶粘剂、清洗剂挥发性有机物含量限值标准，及时发现问题，抓好整改落实。</w:t>
            </w:r>
          </w:p>
        </w:tc>
        <w:tc>
          <w:tcPr>
            <w:tcW w:w="1066" w:type="dxa"/>
            <w:vAlign w:val="center"/>
          </w:tcPr>
          <w:p w14:paraId="2A883FC7">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2025年5月底</w:t>
            </w:r>
          </w:p>
        </w:tc>
        <w:tc>
          <w:tcPr>
            <w:tcW w:w="1484" w:type="dxa"/>
            <w:vMerge w:val="restart"/>
            <w:tcBorders>
              <w:bottom w:val="nil"/>
            </w:tcBorders>
            <w:vAlign w:val="center"/>
          </w:tcPr>
          <w:p w14:paraId="76E24AC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tc>
        <w:tc>
          <w:tcPr>
            <w:tcW w:w="1596" w:type="dxa"/>
            <w:vMerge w:val="restart"/>
            <w:tcBorders>
              <w:bottom w:val="nil"/>
            </w:tcBorders>
            <w:vAlign w:val="center"/>
          </w:tcPr>
          <w:p w14:paraId="7CCBE4E7">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p w14:paraId="3C2E6E72">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4581002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p w14:paraId="197BFC4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359" w:type="dxa"/>
            <w:vMerge w:val="restart"/>
            <w:tcBorders>
              <w:bottom w:val="nil"/>
            </w:tcBorders>
            <w:vAlign w:val="center"/>
          </w:tcPr>
          <w:p w14:paraId="2F9F862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03F1077E">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04F1A15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115EA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single" w:color="auto" w:sz="4" w:space="0"/>
              <w:bottom w:val="nil"/>
            </w:tcBorders>
            <w:vAlign w:val="center"/>
          </w:tcPr>
          <w:p w14:paraId="74042010">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top w:val="single" w:color="auto" w:sz="4" w:space="0"/>
            </w:tcBorders>
            <w:vAlign w:val="center"/>
          </w:tcPr>
          <w:p w14:paraId="270A60FA">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auto" w:sz="4" w:space="0"/>
              <w:bottom w:val="nil"/>
            </w:tcBorders>
            <w:vAlign w:val="center"/>
          </w:tcPr>
          <w:p w14:paraId="0F75AF20">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nil"/>
            </w:tcBorders>
            <w:vAlign w:val="center"/>
          </w:tcPr>
          <w:p w14:paraId="6A21C113">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3788" w:type="dxa"/>
            <w:vAlign w:val="center"/>
          </w:tcPr>
          <w:p w14:paraId="3D37F3B3">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组织开展常态原辅材料监测检查，全年不少于10批次。臭氧高发季节加大检测频次。</w:t>
            </w:r>
          </w:p>
        </w:tc>
        <w:tc>
          <w:tcPr>
            <w:tcW w:w="1066" w:type="dxa"/>
            <w:vAlign w:val="center"/>
          </w:tcPr>
          <w:p w14:paraId="153C9BE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327A3EC1">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39C122C1">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7F901679">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r>
      <w:tr w14:paraId="04375C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59B37259">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724C81C0">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7D102094">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04C7CB34">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3788" w:type="dxa"/>
            <w:vAlign w:val="center"/>
          </w:tcPr>
          <w:p w14:paraId="43D72040">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及时曝光不合格产品，并追溯其生产、销售、进口、使用企业，依法追究责任。</w:t>
            </w:r>
          </w:p>
        </w:tc>
        <w:tc>
          <w:tcPr>
            <w:tcW w:w="1066" w:type="dxa"/>
            <w:vAlign w:val="center"/>
          </w:tcPr>
          <w:p w14:paraId="25D502A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7A0871CC">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2B25FA4A">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6A86E214">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r>
      <w:tr w14:paraId="09ADD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Align w:val="center"/>
          </w:tcPr>
          <w:p w14:paraId="087F5B0A">
            <w:pPr>
              <w:spacing w:line="240" w:lineRule="exact"/>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59</w:t>
            </w:r>
          </w:p>
        </w:tc>
        <w:tc>
          <w:tcPr>
            <w:tcW w:w="885" w:type="dxa"/>
            <w:vMerge w:val="restart"/>
            <w:vAlign w:val="center"/>
          </w:tcPr>
          <w:p w14:paraId="783B52B5">
            <w:pPr>
              <w:pStyle w:val="11"/>
              <w:widowControl w:val="0"/>
              <w:kinsoku/>
              <w:autoSpaceDE/>
              <w:autoSpaceDN/>
              <w:spacing w:line="24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面源综合治理行动</w:t>
            </w:r>
          </w:p>
        </w:tc>
        <w:tc>
          <w:tcPr>
            <w:tcW w:w="1432" w:type="dxa"/>
            <w:vAlign w:val="center"/>
          </w:tcPr>
          <w:p w14:paraId="04DA0D5C">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强力推进城乡增绿扩容</w:t>
            </w:r>
          </w:p>
        </w:tc>
        <w:tc>
          <w:tcPr>
            <w:tcW w:w="2542" w:type="dxa"/>
            <w:vAlign w:val="center"/>
          </w:tcPr>
          <w:p w14:paraId="29DF3DDD">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到2025年，全区森林覆盖率达到14.98。</w:t>
            </w:r>
          </w:p>
        </w:tc>
        <w:tc>
          <w:tcPr>
            <w:tcW w:w="3788" w:type="dxa"/>
            <w:vAlign w:val="center"/>
          </w:tcPr>
          <w:p w14:paraId="5AE1088B">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066" w:type="dxa"/>
            <w:vAlign w:val="center"/>
          </w:tcPr>
          <w:p w14:paraId="694E42D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2F496488">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区秦岭保护局</w:t>
            </w:r>
          </w:p>
        </w:tc>
        <w:tc>
          <w:tcPr>
            <w:tcW w:w="1596" w:type="dxa"/>
            <w:vAlign w:val="center"/>
          </w:tcPr>
          <w:p w14:paraId="4C02E0C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资源规划分局</w:t>
            </w:r>
          </w:p>
          <w:p w14:paraId="218F02E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区水务局</w:t>
            </w:r>
          </w:p>
          <w:p w14:paraId="3A86466F">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tc>
        <w:tc>
          <w:tcPr>
            <w:tcW w:w="1359" w:type="dxa"/>
            <w:vAlign w:val="center"/>
          </w:tcPr>
          <w:p w14:paraId="759CE4E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4903E25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642D6B6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582256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vAlign w:val="center"/>
          </w:tcPr>
          <w:p w14:paraId="0FDF4290">
            <w:pPr>
              <w:spacing w:line="240" w:lineRule="exact"/>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60</w:t>
            </w:r>
          </w:p>
        </w:tc>
        <w:tc>
          <w:tcPr>
            <w:tcW w:w="885" w:type="dxa"/>
            <w:vMerge w:val="continue"/>
            <w:vAlign w:val="center"/>
          </w:tcPr>
          <w:p w14:paraId="28EE754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432" w:type="dxa"/>
            <w:vMerge w:val="restart"/>
            <w:vAlign w:val="center"/>
          </w:tcPr>
          <w:p w14:paraId="3637C04D">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加强烟花爆竹禁售禁放管控</w:t>
            </w:r>
          </w:p>
        </w:tc>
        <w:tc>
          <w:tcPr>
            <w:tcW w:w="2542" w:type="dxa"/>
            <w:vMerge w:val="restart"/>
            <w:vAlign w:val="center"/>
          </w:tcPr>
          <w:p w14:paraId="21089A53">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强化烟花爆竹禁售禁放宣传，充分利用各种媒体开展宣传引导工作，及时向广大群众发出倡议，凝聚全区上下禁售禁放的共识共为。</w:t>
            </w:r>
          </w:p>
        </w:tc>
        <w:tc>
          <w:tcPr>
            <w:tcW w:w="3788" w:type="dxa"/>
            <w:vAlign w:val="center"/>
          </w:tcPr>
          <w:p w14:paraId="25CF5A20">
            <w:pPr>
              <w:pStyle w:val="11"/>
              <w:widowControl w:val="0"/>
              <w:kinsoku/>
              <w:autoSpaceDE/>
              <w:autoSpaceDN/>
              <w:spacing w:line="24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lang w:eastAsia="zh-CN"/>
              </w:rPr>
              <w:t>梳理因储存、燃放烟花爆竹造成严重火灾、重大人员伤亡和公共安全危害的反面典型案例，加大警示曝光，引导群众认清危害自觉参与烟花爆竹禁售禁放。</w:t>
            </w:r>
            <w:r>
              <w:rPr>
                <w:rFonts w:ascii="Times New Roman" w:hAnsi="Times New Roman" w:cs="Times New Roman" w:eastAsiaTheme="minorEastAsia"/>
                <w:color w:val="000000" w:themeColor="text1"/>
                <w:spacing w:val="-6"/>
              </w:rPr>
              <w:t>2025年3月底前曝光一批反面典型案例。</w:t>
            </w:r>
          </w:p>
        </w:tc>
        <w:tc>
          <w:tcPr>
            <w:tcW w:w="1066" w:type="dxa"/>
            <w:vAlign w:val="center"/>
          </w:tcPr>
          <w:p w14:paraId="26CE4DE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1457800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596" w:type="dxa"/>
            <w:vAlign w:val="center"/>
          </w:tcPr>
          <w:p w14:paraId="0C2992A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区应急管理局</w:t>
            </w:r>
          </w:p>
        </w:tc>
        <w:tc>
          <w:tcPr>
            <w:tcW w:w="1359" w:type="dxa"/>
            <w:vAlign w:val="center"/>
          </w:tcPr>
          <w:p w14:paraId="0F074D5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6EECA90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276B575D">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11754F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408" w:hRule="atLeast"/>
        </w:trPr>
        <w:tc>
          <w:tcPr>
            <w:tcW w:w="390" w:type="dxa"/>
            <w:vMerge w:val="continue"/>
            <w:vAlign w:val="center"/>
          </w:tcPr>
          <w:p w14:paraId="1CF334E0">
            <w:pPr>
              <w:spacing w:line="240" w:lineRule="exact"/>
              <w:jc w:val="center"/>
              <w:textAlignment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64851ACD">
            <w:pPr>
              <w:pStyle w:val="11"/>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1432" w:type="dxa"/>
            <w:vMerge w:val="continue"/>
            <w:vAlign w:val="center"/>
          </w:tcPr>
          <w:p w14:paraId="76A8B77E">
            <w:pPr>
              <w:pStyle w:val="11"/>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367AF5DA">
            <w:pPr>
              <w:pStyle w:val="11"/>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3788" w:type="dxa"/>
            <w:vAlign w:val="center"/>
          </w:tcPr>
          <w:p w14:paraId="40EFCC99">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做好学校层面的宣传动员。鼓励引导全区中小学生遵守我区关于禁售禁放烟花爆竹的相关规定，争做禁燃禁放烟花爆竹的小小践行者、宣传员和监督员。</w:t>
            </w:r>
          </w:p>
        </w:tc>
        <w:tc>
          <w:tcPr>
            <w:tcW w:w="1066" w:type="dxa"/>
            <w:vAlign w:val="center"/>
          </w:tcPr>
          <w:p w14:paraId="61F1A9BD">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31BB3B1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区教育局</w:t>
            </w:r>
          </w:p>
        </w:tc>
        <w:tc>
          <w:tcPr>
            <w:tcW w:w="1596" w:type="dxa"/>
            <w:vAlign w:val="center"/>
          </w:tcPr>
          <w:p w14:paraId="45CEE1C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375AAC2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014F9F67">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52E01C1E">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10198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vAlign w:val="center"/>
          </w:tcPr>
          <w:p w14:paraId="3EB373B9">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4753486B">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2EB93EBE">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72E7FDDC">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3788" w:type="dxa"/>
            <w:vAlign w:val="center"/>
          </w:tcPr>
          <w:p w14:paraId="061268AF">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统筹推进各街道做好社区（村）宣传动员。倡导广大居民群众积极响应政府号召，坚决向违规销售、购买、燃放烟花爆竹行为说“不”，在全区范围内营造推动大气环境质量持续好转的浓厚氛围。</w:t>
            </w:r>
          </w:p>
        </w:tc>
        <w:tc>
          <w:tcPr>
            <w:tcW w:w="1066" w:type="dxa"/>
            <w:vAlign w:val="center"/>
          </w:tcPr>
          <w:p w14:paraId="2D631DC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26EEBFCE">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区委社会工作部</w:t>
            </w:r>
          </w:p>
        </w:tc>
        <w:tc>
          <w:tcPr>
            <w:tcW w:w="1596" w:type="dxa"/>
            <w:vAlign w:val="center"/>
          </w:tcPr>
          <w:p w14:paraId="3B54446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25AD68E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41422B7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3A84B1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071" w:hRule="atLeast"/>
        </w:trPr>
        <w:tc>
          <w:tcPr>
            <w:tcW w:w="390" w:type="dxa"/>
            <w:vMerge w:val="continue"/>
            <w:tcBorders>
              <w:bottom w:val="single" w:color="auto" w:sz="4" w:space="0"/>
            </w:tcBorders>
            <w:vAlign w:val="center"/>
          </w:tcPr>
          <w:p w14:paraId="20D03BAA">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73F5AADF">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p>
        </w:tc>
        <w:tc>
          <w:tcPr>
            <w:tcW w:w="1432" w:type="dxa"/>
            <w:vMerge w:val="continue"/>
            <w:vAlign w:val="center"/>
          </w:tcPr>
          <w:p w14:paraId="0F834328">
            <w:pPr>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p>
        </w:tc>
        <w:tc>
          <w:tcPr>
            <w:tcW w:w="2542" w:type="dxa"/>
            <w:vMerge w:val="continue"/>
            <w:vAlign w:val="center"/>
          </w:tcPr>
          <w:p w14:paraId="426C7169">
            <w:pPr>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20320BB6">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做好物业管理层面的宣传动员。加强对居民、业主的宣传教育引导，切实将禁售禁放宣传工作做到广泛、全面、无死角。</w:t>
            </w:r>
          </w:p>
        </w:tc>
        <w:tc>
          <w:tcPr>
            <w:tcW w:w="1066" w:type="dxa"/>
            <w:vAlign w:val="center"/>
          </w:tcPr>
          <w:p w14:paraId="4895292F">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162EEE0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区住建局</w:t>
            </w:r>
          </w:p>
        </w:tc>
        <w:tc>
          <w:tcPr>
            <w:tcW w:w="1596" w:type="dxa"/>
            <w:vAlign w:val="center"/>
          </w:tcPr>
          <w:p w14:paraId="46725DD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130CF0E8">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3064608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544575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top w:val="single" w:color="auto" w:sz="4" w:space="0"/>
            </w:tcBorders>
            <w:vAlign w:val="center"/>
          </w:tcPr>
          <w:p w14:paraId="20C75F0F">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61</w:t>
            </w:r>
          </w:p>
        </w:tc>
        <w:tc>
          <w:tcPr>
            <w:tcW w:w="885" w:type="dxa"/>
            <w:vMerge w:val="continue"/>
            <w:vAlign w:val="center"/>
          </w:tcPr>
          <w:p w14:paraId="554D0FED">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3A70A2A9">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2542" w:type="dxa"/>
            <w:vMerge w:val="restart"/>
            <w:vAlign w:val="center"/>
          </w:tcPr>
          <w:p w14:paraId="14FE7600">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坚持依法禁售烟花爆竹，坚决打击非法生产、经营烟花爆竹的违法行为。</w:t>
            </w:r>
          </w:p>
        </w:tc>
        <w:tc>
          <w:tcPr>
            <w:tcW w:w="3788" w:type="dxa"/>
            <w:vAlign w:val="center"/>
          </w:tcPr>
          <w:p w14:paraId="2248DC9B">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10月1日前，制定烟花爆竹禁售管控方案。</w:t>
            </w:r>
          </w:p>
        </w:tc>
        <w:tc>
          <w:tcPr>
            <w:tcW w:w="1066" w:type="dxa"/>
            <w:vAlign w:val="center"/>
          </w:tcPr>
          <w:p w14:paraId="59C18FDB">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2025年10月1日前</w:t>
            </w:r>
          </w:p>
        </w:tc>
        <w:tc>
          <w:tcPr>
            <w:tcW w:w="1484" w:type="dxa"/>
            <w:tcBorders>
              <w:bottom w:val="nil"/>
            </w:tcBorders>
            <w:vAlign w:val="center"/>
          </w:tcPr>
          <w:p w14:paraId="529688C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596" w:type="dxa"/>
            <w:tcBorders>
              <w:bottom w:val="nil"/>
            </w:tcBorders>
            <w:vAlign w:val="center"/>
          </w:tcPr>
          <w:p w14:paraId="66773BE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区应急管理局</w:t>
            </w:r>
          </w:p>
          <w:p w14:paraId="5550DD8E">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p w14:paraId="031017EB">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tc>
        <w:tc>
          <w:tcPr>
            <w:tcW w:w="1359" w:type="dxa"/>
            <w:tcBorders>
              <w:bottom w:val="nil"/>
            </w:tcBorders>
            <w:vAlign w:val="center"/>
          </w:tcPr>
          <w:p w14:paraId="32DA1961">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4C7FFFBB">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470E5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single" w:color="auto" w:sz="4" w:space="0"/>
              <w:bottom w:val="single" w:color="auto" w:sz="4" w:space="0"/>
            </w:tcBorders>
            <w:vAlign w:val="center"/>
          </w:tcPr>
          <w:p w14:paraId="7FAD4FCB">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c>
          <w:tcPr>
            <w:tcW w:w="885" w:type="dxa"/>
            <w:vMerge w:val="continue"/>
            <w:vAlign w:val="center"/>
          </w:tcPr>
          <w:p w14:paraId="6D288546">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c>
          <w:tcPr>
            <w:tcW w:w="1432" w:type="dxa"/>
            <w:vMerge w:val="continue"/>
            <w:vAlign w:val="center"/>
          </w:tcPr>
          <w:p w14:paraId="16BF1194">
            <w:pPr>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p>
        </w:tc>
        <w:tc>
          <w:tcPr>
            <w:tcW w:w="2542" w:type="dxa"/>
            <w:vMerge w:val="continue"/>
            <w:vAlign w:val="center"/>
          </w:tcPr>
          <w:p w14:paraId="19023CAD">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p>
        </w:tc>
        <w:tc>
          <w:tcPr>
            <w:tcW w:w="3788" w:type="dxa"/>
            <w:vAlign w:val="center"/>
          </w:tcPr>
          <w:p w14:paraId="2136ABFF">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大农村地区、城乡结合部、废旧工厂、工棚以及仓库等场所违法储存、销售烟花爆竹检查力度，提升违法销售打击威慑力，坚决杜绝违规生产加工烟花爆竹小作坊、黑窝点，杜绝非法存储、销售烟花爆竹违法行为，消除安全生产隐患。</w:t>
            </w:r>
          </w:p>
        </w:tc>
        <w:tc>
          <w:tcPr>
            <w:tcW w:w="1066" w:type="dxa"/>
            <w:vAlign w:val="center"/>
          </w:tcPr>
          <w:p w14:paraId="7F722FCD">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66FFACE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区应急管理局</w:t>
            </w:r>
          </w:p>
        </w:tc>
        <w:tc>
          <w:tcPr>
            <w:tcW w:w="1596" w:type="dxa"/>
            <w:vMerge w:val="restart"/>
            <w:tcBorders>
              <w:bottom w:val="nil"/>
            </w:tcBorders>
            <w:vAlign w:val="center"/>
          </w:tcPr>
          <w:p w14:paraId="232C32A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p w14:paraId="0761C332">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p w14:paraId="4ACAD9CD">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tc>
        <w:tc>
          <w:tcPr>
            <w:tcW w:w="1359" w:type="dxa"/>
            <w:vMerge w:val="restart"/>
            <w:tcBorders>
              <w:bottom w:val="nil"/>
            </w:tcBorders>
            <w:vAlign w:val="center"/>
          </w:tcPr>
          <w:p w14:paraId="09D669A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31B3D84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24864051">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7D57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single" w:color="auto" w:sz="4" w:space="0"/>
              <w:bottom w:val="single" w:color="auto" w:sz="4" w:space="0"/>
            </w:tcBorders>
            <w:vAlign w:val="center"/>
          </w:tcPr>
          <w:p w14:paraId="6F7F748D">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1121015D">
            <w:pPr>
              <w:widowControl w:val="0"/>
              <w:kinsoku/>
              <w:autoSpaceDE/>
              <w:autoSpaceDN/>
              <w:spacing w:line="29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3D4D55FD">
            <w:pPr>
              <w:widowControl w:val="0"/>
              <w:kinsoku/>
              <w:autoSpaceDE/>
              <w:autoSpaceDN/>
              <w:spacing w:line="29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152012FD">
            <w:pPr>
              <w:widowControl w:val="0"/>
              <w:kinsoku/>
              <w:autoSpaceDE/>
              <w:autoSpaceDN/>
              <w:spacing w:line="290" w:lineRule="exact"/>
              <w:jc w:val="both"/>
              <w:rPr>
                <w:rFonts w:ascii="Times New Roman" w:hAnsi="Times New Roman" w:cs="Times New Roman" w:eastAsiaTheme="minorEastAsia"/>
                <w:color w:val="000000" w:themeColor="text1"/>
                <w:spacing w:val="-6"/>
              </w:rPr>
            </w:pPr>
          </w:p>
        </w:tc>
        <w:tc>
          <w:tcPr>
            <w:tcW w:w="3788" w:type="dxa"/>
            <w:vAlign w:val="center"/>
          </w:tcPr>
          <w:p w14:paraId="51E030D2">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严查沿街商户销售、流动摊贩兜售行为，严厉打击违规售卖烟花爆竹违法行为。</w:t>
            </w:r>
          </w:p>
        </w:tc>
        <w:tc>
          <w:tcPr>
            <w:tcW w:w="1066" w:type="dxa"/>
            <w:vAlign w:val="center"/>
          </w:tcPr>
          <w:p w14:paraId="2A9AF986">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42D6691F">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18B3892A">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6A79BEA5">
            <w:pPr>
              <w:widowControl w:val="0"/>
              <w:kinsoku/>
              <w:autoSpaceDE/>
              <w:autoSpaceDN/>
              <w:spacing w:line="260" w:lineRule="exact"/>
              <w:jc w:val="center"/>
              <w:rPr>
                <w:rFonts w:ascii="Times New Roman" w:hAnsi="Times New Roman" w:cs="Times New Roman" w:eastAsiaTheme="minorEastAsia"/>
                <w:color w:val="000000" w:themeColor="text1"/>
                <w:spacing w:val="-6"/>
              </w:rPr>
            </w:pPr>
          </w:p>
        </w:tc>
      </w:tr>
      <w:tr w14:paraId="4EE208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single" w:color="auto" w:sz="4" w:space="0"/>
              <w:bottom w:val="single" w:color="auto" w:sz="4" w:space="0"/>
            </w:tcBorders>
            <w:vAlign w:val="center"/>
          </w:tcPr>
          <w:p w14:paraId="666D6F71">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bottom w:val="single" w:color="auto" w:sz="4" w:space="0"/>
            </w:tcBorders>
            <w:vAlign w:val="center"/>
          </w:tcPr>
          <w:p w14:paraId="47A2A611">
            <w:pPr>
              <w:widowControl w:val="0"/>
              <w:kinsoku/>
              <w:autoSpaceDE/>
              <w:autoSpaceDN/>
              <w:spacing w:line="29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77977E2B">
            <w:pPr>
              <w:widowControl w:val="0"/>
              <w:kinsoku/>
              <w:autoSpaceDE/>
              <w:autoSpaceDN/>
              <w:spacing w:line="29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64FF47BE">
            <w:pPr>
              <w:widowControl w:val="0"/>
              <w:kinsoku/>
              <w:autoSpaceDE/>
              <w:autoSpaceDN/>
              <w:spacing w:line="290" w:lineRule="exact"/>
              <w:jc w:val="both"/>
              <w:rPr>
                <w:rFonts w:ascii="Times New Roman" w:hAnsi="Times New Roman" w:cs="Times New Roman" w:eastAsiaTheme="minorEastAsia"/>
                <w:color w:val="000000" w:themeColor="text1"/>
                <w:spacing w:val="-6"/>
              </w:rPr>
            </w:pPr>
          </w:p>
        </w:tc>
        <w:tc>
          <w:tcPr>
            <w:tcW w:w="3788" w:type="dxa"/>
            <w:vAlign w:val="center"/>
          </w:tcPr>
          <w:p w14:paraId="3C98617A">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加大网络销售烟花爆竹侦测，发现线索及时移交区应急管理局，依法查处网络违法销售烟花爆竹行为，有力遏制线上违法销售势头。</w:t>
            </w:r>
          </w:p>
        </w:tc>
        <w:tc>
          <w:tcPr>
            <w:tcW w:w="1066" w:type="dxa"/>
            <w:vAlign w:val="center"/>
          </w:tcPr>
          <w:p w14:paraId="165F16C7">
            <w:pPr>
              <w:pStyle w:val="11"/>
              <w:widowControl w:val="0"/>
              <w:kinsoku/>
              <w:autoSpaceDE/>
              <w:autoSpaceDN/>
              <w:spacing w:line="26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11B5F8C7">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596" w:type="dxa"/>
            <w:vAlign w:val="center"/>
          </w:tcPr>
          <w:p w14:paraId="3191B176">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区应急管理局</w:t>
            </w:r>
          </w:p>
          <w:p w14:paraId="0D810AA3">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tc>
        <w:tc>
          <w:tcPr>
            <w:tcW w:w="1359" w:type="dxa"/>
            <w:vAlign w:val="center"/>
          </w:tcPr>
          <w:p w14:paraId="46B8C02A">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1EE95036">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55731370">
            <w:pPr>
              <w:pStyle w:val="11"/>
              <w:widowControl w:val="0"/>
              <w:kinsoku/>
              <w:autoSpaceDE/>
              <w:autoSpaceDN/>
              <w:spacing w:line="26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499FD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top w:val="single" w:color="auto" w:sz="4" w:space="0"/>
              <w:bottom w:val="single" w:color="auto" w:sz="4" w:space="0"/>
            </w:tcBorders>
            <w:vAlign w:val="center"/>
          </w:tcPr>
          <w:p w14:paraId="60B09C95">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62</w:t>
            </w:r>
          </w:p>
        </w:tc>
        <w:tc>
          <w:tcPr>
            <w:tcW w:w="885" w:type="dxa"/>
            <w:vMerge w:val="restart"/>
            <w:tcBorders>
              <w:top w:val="single" w:color="auto" w:sz="4" w:space="0"/>
            </w:tcBorders>
            <w:vAlign w:val="center"/>
          </w:tcPr>
          <w:p w14:paraId="7AA4765B">
            <w:pPr>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面源综合治理行动</w:t>
            </w:r>
          </w:p>
        </w:tc>
        <w:tc>
          <w:tcPr>
            <w:tcW w:w="1432" w:type="dxa"/>
            <w:vMerge w:val="restart"/>
            <w:vAlign w:val="center"/>
          </w:tcPr>
          <w:p w14:paraId="327DE498">
            <w:pPr>
              <w:pStyle w:val="11"/>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加强烟花爆竹禁售禁放管控</w:t>
            </w:r>
          </w:p>
        </w:tc>
        <w:tc>
          <w:tcPr>
            <w:tcW w:w="2542" w:type="dxa"/>
            <w:vMerge w:val="restart"/>
            <w:vAlign w:val="center"/>
          </w:tcPr>
          <w:p w14:paraId="32CF2431">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坚持依法禁放烟花爆竹，坚决打击非法运输、储存、放烟花爆竹的违法行为。</w:t>
            </w:r>
          </w:p>
        </w:tc>
        <w:tc>
          <w:tcPr>
            <w:tcW w:w="3788" w:type="dxa"/>
            <w:vAlign w:val="center"/>
          </w:tcPr>
          <w:p w14:paraId="202DE75F">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10月1日前，制定烟花爆竹非法运输、储存、燃放管控方案；相关区级部门制定行业管控方案。</w:t>
            </w:r>
          </w:p>
        </w:tc>
        <w:tc>
          <w:tcPr>
            <w:tcW w:w="1066" w:type="dxa"/>
            <w:vAlign w:val="center"/>
          </w:tcPr>
          <w:p w14:paraId="42E12541">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2025年10月1日前</w:t>
            </w:r>
          </w:p>
        </w:tc>
        <w:tc>
          <w:tcPr>
            <w:tcW w:w="1484" w:type="dxa"/>
            <w:vAlign w:val="center"/>
          </w:tcPr>
          <w:p w14:paraId="08BE5A3E">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596" w:type="dxa"/>
            <w:vAlign w:val="center"/>
          </w:tcPr>
          <w:p w14:paraId="2E8BA4A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区委社会工作部</w:t>
            </w:r>
          </w:p>
          <w:p w14:paraId="36876CFB">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p w14:paraId="1F3F2B3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2C353641">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p w14:paraId="5384C16E">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区民政局</w:t>
            </w:r>
          </w:p>
          <w:p w14:paraId="6C39CB8E">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邮政分公司</w:t>
            </w:r>
          </w:p>
        </w:tc>
        <w:tc>
          <w:tcPr>
            <w:tcW w:w="1359" w:type="dxa"/>
            <w:vAlign w:val="center"/>
          </w:tcPr>
          <w:p w14:paraId="70C1075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3AADEA71">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46F3735B">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16ADF6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single" w:color="auto" w:sz="4" w:space="0"/>
              <w:bottom w:val="single" w:color="auto" w:sz="4" w:space="0"/>
            </w:tcBorders>
            <w:vAlign w:val="center"/>
          </w:tcPr>
          <w:p w14:paraId="511B74D2">
            <w:pPr>
              <w:widowControl w:val="0"/>
              <w:kinsoku/>
              <w:autoSpaceDE/>
              <w:autoSpaceDN/>
              <w:jc w:val="center"/>
              <w:textAlignment w:val="center"/>
              <w:rPr>
                <w:rFonts w:ascii="Times New Roman" w:hAnsi="Times New Roman" w:cs="Times New Roman" w:eastAsiaTheme="minorEastAsia"/>
                <w:color w:val="000000" w:themeColor="text1"/>
                <w:spacing w:val="-6"/>
              </w:rPr>
            </w:pPr>
          </w:p>
        </w:tc>
        <w:tc>
          <w:tcPr>
            <w:tcW w:w="885" w:type="dxa"/>
            <w:vMerge w:val="continue"/>
            <w:vAlign w:val="center"/>
          </w:tcPr>
          <w:p w14:paraId="2E878F66">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5ECCC609">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02BB0CB9">
            <w:pPr>
              <w:pStyle w:val="11"/>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vAlign w:val="center"/>
          </w:tcPr>
          <w:p w14:paraId="5A2AAA54">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加大高速路口、国省干道以及进入市区主要路口的盘查力度，严厉打击违法运输烟花爆竹行为，严防销售往邻省的烟花爆竹车辆从我区过境时提前卸货、分散转运、隐蔽储藏等行为。</w:t>
            </w:r>
          </w:p>
        </w:tc>
        <w:tc>
          <w:tcPr>
            <w:tcW w:w="1066" w:type="dxa"/>
            <w:vAlign w:val="center"/>
          </w:tcPr>
          <w:p w14:paraId="09E41362">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78BA1F29">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596" w:type="dxa"/>
            <w:vAlign w:val="center"/>
          </w:tcPr>
          <w:p w14:paraId="24183261">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359" w:type="dxa"/>
            <w:vAlign w:val="center"/>
          </w:tcPr>
          <w:p w14:paraId="51F1338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50128980">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2854BF1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1FD06A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single" w:color="auto" w:sz="4" w:space="0"/>
              <w:bottom w:val="single" w:color="auto" w:sz="4" w:space="0"/>
            </w:tcBorders>
            <w:vAlign w:val="center"/>
          </w:tcPr>
          <w:p w14:paraId="58EF617F">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7A81689B">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357219BF">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7642CD40">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vAlign w:val="center"/>
          </w:tcPr>
          <w:p w14:paraId="2B7502B1">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从12月21日起，聚焦元旦、春节、元宵节等重点时段，集中开展烟花爆竹禁放专项治理行动，强化值班值守、加大调度指挥、严格巡查检查，加强重点区域管控应对，坚决杜绝集中、连片燃放情况。</w:t>
            </w:r>
          </w:p>
        </w:tc>
        <w:tc>
          <w:tcPr>
            <w:tcW w:w="1066" w:type="dxa"/>
            <w:vAlign w:val="center"/>
          </w:tcPr>
          <w:p w14:paraId="7FC44A4A">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2025年12月底</w:t>
            </w:r>
          </w:p>
        </w:tc>
        <w:tc>
          <w:tcPr>
            <w:tcW w:w="1484" w:type="dxa"/>
            <w:vAlign w:val="center"/>
          </w:tcPr>
          <w:p w14:paraId="2DEE680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596" w:type="dxa"/>
            <w:vAlign w:val="center"/>
          </w:tcPr>
          <w:p w14:paraId="75297BD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区应急管理局</w:t>
            </w:r>
          </w:p>
          <w:p w14:paraId="7B073E67">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p w14:paraId="22A591B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1A28F9CB">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359" w:type="dxa"/>
            <w:vAlign w:val="center"/>
          </w:tcPr>
          <w:p w14:paraId="73E7C9A8">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7A2F9B9F">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4249BDF7">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6828CD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single" w:color="auto" w:sz="4" w:space="0"/>
              <w:bottom w:val="single" w:color="auto" w:sz="4" w:space="0"/>
            </w:tcBorders>
            <w:vAlign w:val="center"/>
          </w:tcPr>
          <w:p w14:paraId="08A83685">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bottom w:val="single" w:color="auto" w:sz="4" w:space="0"/>
            </w:tcBorders>
            <w:vAlign w:val="center"/>
          </w:tcPr>
          <w:p w14:paraId="1CA17BA9">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vAlign w:val="center"/>
          </w:tcPr>
          <w:p w14:paraId="213EB1D6">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vAlign w:val="center"/>
          </w:tcPr>
          <w:p w14:paraId="0EE8B42D">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vAlign w:val="center"/>
          </w:tcPr>
          <w:p w14:paraId="136CE99E">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10月底前，发布烟花爆竹禁售禁放公告，依据划定的禁售禁放区域和相关市级部门工作方案，制定区域工作方案、重点时段管控方案、重点区域管控方案、有奖举报和有奖回收工作方案。</w:t>
            </w:r>
          </w:p>
        </w:tc>
        <w:tc>
          <w:tcPr>
            <w:tcW w:w="1066" w:type="dxa"/>
            <w:vAlign w:val="center"/>
          </w:tcPr>
          <w:p w14:paraId="2D5A9ABA">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2025年10月底</w:t>
            </w:r>
          </w:p>
        </w:tc>
        <w:tc>
          <w:tcPr>
            <w:tcW w:w="1484" w:type="dxa"/>
            <w:vAlign w:val="center"/>
          </w:tcPr>
          <w:p w14:paraId="51C35882">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公安分局</w:t>
            </w:r>
          </w:p>
        </w:tc>
        <w:tc>
          <w:tcPr>
            <w:tcW w:w="1596" w:type="dxa"/>
            <w:vAlign w:val="center"/>
          </w:tcPr>
          <w:p w14:paraId="7AF9C17C">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区应急管理局</w:t>
            </w:r>
          </w:p>
          <w:p w14:paraId="63D923B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p w14:paraId="184FF0BE">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p w14:paraId="54123991">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p w14:paraId="19048E4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区交通局</w:t>
            </w:r>
          </w:p>
        </w:tc>
        <w:tc>
          <w:tcPr>
            <w:tcW w:w="1359" w:type="dxa"/>
            <w:vAlign w:val="center"/>
          </w:tcPr>
          <w:p w14:paraId="7512D086">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664DC920">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7105C4B9">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792F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154" w:hRule="atLeast"/>
        </w:trPr>
        <w:tc>
          <w:tcPr>
            <w:tcW w:w="390" w:type="dxa"/>
            <w:vMerge w:val="restart"/>
            <w:tcBorders>
              <w:top w:val="single" w:color="auto" w:sz="4" w:space="0"/>
              <w:bottom w:val="single" w:color="auto" w:sz="4" w:space="0"/>
            </w:tcBorders>
            <w:vAlign w:val="center"/>
          </w:tcPr>
          <w:p w14:paraId="5431CDEA">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63</w:t>
            </w:r>
          </w:p>
        </w:tc>
        <w:tc>
          <w:tcPr>
            <w:tcW w:w="885" w:type="dxa"/>
            <w:vMerge w:val="restart"/>
            <w:tcBorders>
              <w:top w:val="single" w:color="auto" w:sz="4" w:space="0"/>
            </w:tcBorders>
            <w:vAlign w:val="center"/>
          </w:tcPr>
          <w:p w14:paraId="18BDA622">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面源综合治理行动</w:t>
            </w:r>
          </w:p>
        </w:tc>
        <w:tc>
          <w:tcPr>
            <w:tcW w:w="1432" w:type="dxa"/>
            <w:vMerge w:val="restart"/>
            <w:tcBorders>
              <w:bottom w:val="nil"/>
            </w:tcBorders>
            <w:vAlign w:val="center"/>
          </w:tcPr>
          <w:p w14:paraId="51F10E1F">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持续推动农业氨治理</w:t>
            </w:r>
          </w:p>
        </w:tc>
        <w:tc>
          <w:tcPr>
            <w:tcW w:w="2542" w:type="dxa"/>
            <w:vAlign w:val="center"/>
          </w:tcPr>
          <w:p w14:paraId="29947BBD">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推进化肥减量增效。</w:t>
            </w:r>
          </w:p>
        </w:tc>
        <w:tc>
          <w:tcPr>
            <w:tcW w:w="3788" w:type="dxa"/>
            <w:vAlign w:val="center"/>
          </w:tcPr>
          <w:p w14:paraId="599CCD01">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农作物测土配方施肥覆盖率保持在90%以上，主要农作物化肥、农药使用量实现负增长。</w:t>
            </w:r>
          </w:p>
        </w:tc>
        <w:tc>
          <w:tcPr>
            <w:tcW w:w="1066" w:type="dxa"/>
            <w:vAlign w:val="center"/>
          </w:tcPr>
          <w:p w14:paraId="61D6DEBF">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2025年12月底</w:t>
            </w:r>
          </w:p>
        </w:tc>
        <w:tc>
          <w:tcPr>
            <w:tcW w:w="1484" w:type="dxa"/>
            <w:vMerge w:val="restart"/>
            <w:tcBorders>
              <w:bottom w:val="nil"/>
            </w:tcBorders>
            <w:vAlign w:val="center"/>
          </w:tcPr>
          <w:p w14:paraId="06711BE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区农业农村局</w:t>
            </w:r>
          </w:p>
        </w:tc>
        <w:tc>
          <w:tcPr>
            <w:tcW w:w="1596" w:type="dxa"/>
            <w:vMerge w:val="restart"/>
            <w:tcBorders>
              <w:bottom w:val="nil"/>
            </w:tcBorders>
            <w:vAlign w:val="center"/>
          </w:tcPr>
          <w:p w14:paraId="2571A4BB">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区科技局</w:t>
            </w:r>
          </w:p>
          <w:p w14:paraId="0BDB5D1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359" w:type="dxa"/>
            <w:vMerge w:val="restart"/>
            <w:tcBorders>
              <w:bottom w:val="nil"/>
            </w:tcBorders>
            <w:vAlign w:val="center"/>
          </w:tcPr>
          <w:p w14:paraId="217073BC">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723D20B0">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37EBA8D8">
            <w:pPr>
              <w:pStyle w:val="11"/>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34D973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392" w:hRule="atLeast"/>
        </w:trPr>
        <w:tc>
          <w:tcPr>
            <w:tcW w:w="390" w:type="dxa"/>
            <w:vMerge w:val="continue"/>
            <w:tcBorders>
              <w:top w:val="single" w:color="auto" w:sz="4" w:space="0"/>
              <w:bottom w:val="single" w:color="auto" w:sz="4" w:space="0"/>
            </w:tcBorders>
            <w:vAlign w:val="center"/>
          </w:tcPr>
          <w:p w14:paraId="63801246">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13260CEB">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13A91DB8">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Align w:val="center"/>
          </w:tcPr>
          <w:p w14:paraId="7F3B9FE5">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推广低蛋白日粮技术，减少氨排放。鼓励生猪、家禽养殖场实施圈舍、粪污输送、存储及处理设施封闭改造。</w:t>
            </w:r>
          </w:p>
        </w:tc>
        <w:tc>
          <w:tcPr>
            <w:tcW w:w="3788" w:type="dxa"/>
            <w:vAlign w:val="center"/>
          </w:tcPr>
          <w:p w14:paraId="486F25B9">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规模化养殖场全面推行畜禽粪污资源化利用台账制度，强化日常监督指导。到2025年底，畜禽养殖粪污资源化利用率达90%以上。</w:t>
            </w:r>
          </w:p>
        </w:tc>
        <w:tc>
          <w:tcPr>
            <w:tcW w:w="1066" w:type="dxa"/>
            <w:vAlign w:val="center"/>
          </w:tcPr>
          <w:p w14:paraId="231A87D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2025年12月底</w:t>
            </w:r>
          </w:p>
        </w:tc>
        <w:tc>
          <w:tcPr>
            <w:tcW w:w="1484" w:type="dxa"/>
            <w:vMerge w:val="continue"/>
            <w:tcBorders>
              <w:top w:val="nil"/>
            </w:tcBorders>
            <w:vAlign w:val="center"/>
          </w:tcPr>
          <w:p w14:paraId="75B1099C">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24BAF6AE">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7AC28D2B">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r>
      <w:tr w14:paraId="635977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463" w:hRule="atLeast"/>
        </w:trPr>
        <w:tc>
          <w:tcPr>
            <w:tcW w:w="390" w:type="dxa"/>
            <w:vMerge w:val="restart"/>
            <w:tcBorders>
              <w:top w:val="single" w:color="auto" w:sz="4" w:space="0"/>
              <w:bottom w:val="single" w:color="auto" w:sz="4" w:space="0"/>
            </w:tcBorders>
            <w:vAlign w:val="center"/>
          </w:tcPr>
          <w:p w14:paraId="5608D366">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64</w:t>
            </w:r>
          </w:p>
        </w:tc>
        <w:tc>
          <w:tcPr>
            <w:tcW w:w="885" w:type="dxa"/>
            <w:vMerge w:val="continue"/>
            <w:vAlign w:val="center"/>
          </w:tcPr>
          <w:p w14:paraId="00C5EBDE">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restart"/>
            <w:tcBorders>
              <w:bottom w:val="nil"/>
            </w:tcBorders>
            <w:vAlign w:val="center"/>
          </w:tcPr>
          <w:p w14:paraId="19B8697C">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加大餐饮油烟治理</w:t>
            </w:r>
          </w:p>
        </w:tc>
        <w:tc>
          <w:tcPr>
            <w:tcW w:w="2542" w:type="dxa"/>
            <w:vMerge w:val="restart"/>
            <w:tcBorders>
              <w:bottom w:val="nil"/>
            </w:tcBorders>
            <w:vAlign w:val="center"/>
          </w:tcPr>
          <w:p w14:paraId="30141AC7">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持续排查整治餐饮油烟、露天烧烤等方面的违法排放问题，强化日常监测监管，进一步提高餐饮油烟治理水平。城市建成区全面禁止露天烧烤。</w:t>
            </w:r>
          </w:p>
        </w:tc>
        <w:tc>
          <w:tcPr>
            <w:tcW w:w="3788" w:type="dxa"/>
            <w:vAlign w:val="center"/>
          </w:tcPr>
          <w:p w14:paraId="693BE95A">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1000平方米以上餐饮单位（含机关、企事业单位1000平方米以上食堂）全部安装在线监测装置并联网。利用餐饮油烟在线监测系统，强化日常监测监管。</w:t>
            </w:r>
          </w:p>
        </w:tc>
        <w:tc>
          <w:tcPr>
            <w:tcW w:w="1066" w:type="dxa"/>
            <w:vAlign w:val="center"/>
          </w:tcPr>
          <w:p w14:paraId="7A19993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70FC17B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tc>
        <w:tc>
          <w:tcPr>
            <w:tcW w:w="1596" w:type="dxa"/>
            <w:vMerge w:val="restart"/>
            <w:tcBorders>
              <w:bottom w:val="nil"/>
            </w:tcBorders>
            <w:vAlign w:val="center"/>
          </w:tcPr>
          <w:p w14:paraId="5DABB05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Merge w:val="restart"/>
            <w:tcBorders>
              <w:bottom w:val="nil"/>
            </w:tcBorders>
            <w:vAlign w:val="center"/>
          </w:tcPr>
          <w:p w14:paraId="779BE4CD">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7D246EC7">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6931DFD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0F2AC6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939" w:hRule="atLeast"/>
        </w:trPr>
        <w:tc>
          <w:tcPr>
            <w:tcW w:w="390" w:type="dxa"/>
            <w:vMerge w:val="continue"/>
            <w:tcBorders>
              <w:top w:val="single" w:color="auto" w:sz="4" w:space="0"/>
              <w:bottom w:val="single" w:color="auto" w:sz="4" w:space="0"/>
            </w:tcBorders>
            <w:vAlign w:val="center"/>
          </w:tcPr>
          <w:p w14:paraId="7044718F">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3714ED12">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bottom w:val="nil"/>
            </w:tcBorders>
            <w:vAlign w:val="center"/>
          </w:tcPr>
          <w:p w14:paraId="70C0077F">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nil"/>
            </w:tcBorders>
            <w:vAlign w:val="center"/>
          </w:tcPr>
          <w:p w14:paraId="4E89D22B">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3788" w:type="dxa"/>
            <w:vAlign w:val="center"/>
          </w:tcPr>
          <w:p w14:paraId="546D49B6">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加大城市建成区露天烧烤执法检查力度，发现问题依法查处，每季度通报一次。</w:t>
            </w:r>
          </w:p>
        </w:tc>
        <w:tc>
          <w:tcPr>
            <w:tcW w:w="1066" w:type="dxa"/>
            <w:vAlign w:val="center"/>
          </w:tcPr>
          <w:p w14:paraId="34DD3B2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2025年12月底</w:t>
            </w:r>
          </w:p>
        </w:tc>
        <w:tc>
          <w:tcPr>
            <w:tcW w:w="1484" w:type="dxa"/>
            <w:vMerge w:val="continue"/>
            <w:tcBorders>
              <w:top w:val="nil"/>
              <w:bottom w:val="nil"/>
            </w:tcBorders>
            <w:vAlign w:val="center"/>
          </w:tcPr>
          <w:p w14:paraId="63D315F2">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0C0429E4">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5068599C">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r>
      <w:tr w14:paraId="0BCEA8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569" w:hRule="atLeast"/>
        </w:trPr>
        <w:tc>
          <w:tcPr>
            <w:tcW w:w="390" w:type="dxa"/>
            <w:vMerge w:val="continue"/>
            <w:tcBorders>
              <w:top w:val="single" w:color="auto" w:sz="4" w:space="0"/>
              <w:bottom w:val="single" w:color="auto" w:sz="4" w:space="0"/>
            </w:tcBorders>
            <w:vAlign w:val="center"/>
          </w:tcPr>
          <w:p w14:paraId="7CB29D50">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097094F6">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7252D74F">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2FA4178E">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3788" w:type="dxa"/>
            <w:vAlign w:val="center"/>
          </w:tcPr>
          <w:p w14:paraId="46CD9AAB">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市级部门每半年开展不少于一次大专院校、中小学、幼儿园食堂联合检查，各片区开展不少于一轮大专院校、中小学、幼儿园食堂监督检查。</w:t>
            </w:r>
          </w:p>
        </w:tc>
        <w:tc>
          <w:tcPr>
            <w:tcW w:w="1066" w:type="dxa"/>
            <w:vAlign w:val="center"/>
          </w:tcPr>
          <w:p w14:paraId="2784535E">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72617D97">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596" w:type="dxa"/>
            <w:vAlign w:val="center"/>
          </w:tcPr>
          <w:p w14:paraId="4310581E">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p w14:paraId="5B3787A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区教育局</w:t>
            </w:r>
          </w:p>
        </w:tc>
        <w:tc>
          <w:tcPr>
            <w:tcW w:w="1359" w:type="dxa"/>
            <w:vMerge w:val="continue"/>
            <w:tcBorders>
              <w:top w:val="nil"/>
            </w:tcBorders>
            <w:vAlign w:val="center"/>
          </w:tcPr>
          <w:p w14:paraId="3AF00681">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r>
      <w:tr w14:paraId="790DBA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top w:val="single" w:color="auto" w:sz="4" w:space="0"/>
              <w:bottom w:val="single" w:color="auto" w:sz="4" w:space="0"/>
            </w:tcBorders>
            <w:vAlign w:val="center"/>
          </w:tcPr>
          <w:p w14:paraId="7DA97EEE">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65</w:t>
            </w:r>
          </w:p>
        </w:tc>
        <w:tc>
          <w:tcPr>
            <w:tcW w:w="885" w:type="dxa"/>
            <w:vMerge w:val="continue"/>
            <w:vAlign w:val="center"/>
          </w:tcPr>
          <w:p w14:paraId="17773A85">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restart"/>
            <w:tcBorders>
              <w:bottom w:val="nil"/>
            </w:tcBorders>
            <w:vAlign w:val="center"/>
          </w:tcPr>
          <w:p w14:paraId="0A4371B1">
            <w:pPr>
              <w:pStyle w:val="11"/>
              <w:widowControl w:val="0"/>
              <w:kinsoku/>
              <w:autoSpaceDE/>
              <w:autoSpaceDN/>
              <w:spacing w:line="25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强化露天焚烧管控</w:t>
            </w:r>
          </w:p>
        </w:tc>
        <w:tc>
          <w:tcPr>
            <w:tcW w:w="2542" w:type="dxa"/>
            <w:vMerge w:val="restart"/>
            <w:tcBorders>
              <w:bottom w:val="nil"/>
            </w:tcBorders>
            <w:vAlign w:val="center"/>
          </w:tcPr>
          <w:p w14:paraId="7973DA92">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切实加强城市建成区范围内秸秆、垃圾、树叶、杂物露天焚烧查处力度，强化相关街办、园区主体责任，建立重点区域网格化监管制度，在重点时段开展专项巡查，严防因露天焚烧造成区域性重污染天气。</w:t>
            </w:r>
          </w:p>
        </w:tc>
        <w:tc>
          <w:tcPr>
            <w:tcW w:w="3788" w:type="dxa"/>
            <w:vAlign w:val="center"/>
          </w:tcPr>
          <w:p w14:paraId="381EC78A">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加强城市建成区垃圾、树叶等废弃物焚烧管控，加大依法查处力度。</w:t>
            </w:r>
          </w:p>
        </w:tc>
        <w:tc>
          <w:tcPr>
            <w:tcW w:w="1066" w:type="dxa"/>
            <w:vAlign w:val="center"/>
          </w:tcPr>
          <w:p w14:paraId="328F8D0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23A29D91">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区城管执法局</w:t>
            </w:r>
          </w:p>
        </w:tc>
        <w:tc>
          <w:tcPr>
            <w:tcW w:w="1596" w:type="dxa"/>
            <w:vAlign w:val="center"/>
          </w:tcPr>
          <w:p w14:paraId="449891A8">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2876BD0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4CF8FA5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15796BED">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13C2B7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single" w:color="auto" w:sz="4" w:space="0"/>
              <w:bottom w:val="single" w:color="auto" w:sz="4" w:space="0"/>
            </w:tcBorders>
            <w:vAlign w:val="center"/>
          </w:tcPr>
          <w:p w14:paraId="46DC4424">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1E3702C9">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bottom w:val="nil"/>
            </w:tcBorders>
            <w:vAlign w:val="center"/>
          </w:tcPr>
          <w:p w14:paraId="25D169F9">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nil"/>
            </w:tcBorders>
            <w:vAlign w:val="center"/>
          </w:tcPr>
          <w:p w14:paraId="066A692B">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3788" w:type="dxa"/>
            <w:vAlign w:val="center"/>
          </w:tcPr>
          <w:p w14:paraId="65C59790">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加强网格化管理，夯实三级网格责任，强化日常巡查监管。</w:t>
            </w:r>
          </w:p>
        </w:tc>
        <w:tc>
          <w:tcPr>
            <w:tcW w:w="1066" w:type="dxa"/>
            <w:vAlign w:val="center"/>
          </w:tcPr>
          <w:p w14:paraId="716181B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0F0D46B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77A8543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Merge w:val="restart"/>
            <w:tcBorders>
              <w:bottom w:val="nil"/>
            </w:tcBorders>
            <w:vAlign w:val="center"/>
          </w:tcPr>
          <w:p w14:paraId="71A1F7F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46E815C8">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35EE259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78F6A8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055" w:hRule="atLeast"/>
        </w:trPr>
        <w:tc>
          <w:tcPr>
            <w:tcW w:w="390" w:type="dxa"/>
            <w:vMerge w:val="continue"/>
            <w:tcBorders>
              <w:top w:val="single" w:color="auto" w:sz="4" w:space="0"/>
              <w:bottom w:val="single" w:color="auto" w:sz="4" w:space="0"/>
            </w:tcBorders>
            <w:vAlign w:val="center"/>
          </w:tcPr>
          <w:p w14:paraId="6A864692">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3DD6FAB4">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bottom w:val="nil"/>
            </w:tcBorders>
            <w:vAlign w:val="center"/>
          </w:tcPr>
          <w:p w14:paraId="66635A15">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nil"/>
            </w:tcBorders>
            <w:vAlign w:val="center"/>
          </w:tcPr>
          <w:p w14:paraId="46555934">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3788" w:type="dxa"/>
            <w:vAlign w:val="center"/>
          </w:tcPr>
          <w:p w14:paraId="68D42229">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优化烟火监控平台报警处置流程，实施24小时火情值守及半小时处置工作机制，坚决遏制露天焚烧行为。</w:t>
            </w:r>
          </w:p>
        </w:tc>
        <w:tc>
          <w:tcPr>
            <w:tcW w:w="1066" w:type="dxa"/>
            <w:vAlign w:val="center"/>
          </w:tcPr>
          <w:p w14:paraId="2A02DC41">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3BDF8BAA">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204AC668">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09CF9D2B">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r>
      <w:tr w14:paraId="20E613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842" w:hRule="atLeast"/>
        </w:trPr>
        <w:tc>
          <w:tcPr>
            <w:tcW w:w="390" w:type="dxa"/>
            <w:vMerge w:val="continue"/>
            <w:tcBorders>
              <w:top w:val="single" w:color="auto" w:sz="4" w:space="0"/>
              <w:bottom w:val="single" w:color="auto" w:sz="4" w:space="0"/>
            </w:tcBorders>
            <w:vAlign w:val="center"/>
          </w:tcPr>
          <w:p w14:paraId="358788EF">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1C7C3C88">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bottom w:val="nil"/>
            </w:tcBorders>
            <w:vAlign w:val="center"/>
          </w:tcPr>
          <w:p w14:paraId="5DBE11D7">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nil"/>
            </w:tcBorders>
            <w:vAlign w:val="center"/>
          </w:tcPr>
          <w:p w14:paraId="75063088">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3788" w:type="dxa"/>
            <w:vAlign w:val="center"/>
          </w:tcPr>
          <w:p w14:paraId="2A360D23">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严格落实《关于针对露天焚烧行为实施财政资金扣缴及考核问责暂行规定》，加大露天焚烧处罚力度。</w:t>
            </w:r>
          </w:p>
        </w:tc>
        <w:tc>
          <w:tcPr>
            <w:tcW w:w="1066" w:type="dxa"/>
            <w:vAlign w:val="center"/>
          </w:tcPr>
          <w:p w14:paraId="1437CB2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6C170D3C">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3C2214FF">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67BC962A">
            <w:pPr>
              <w:widowControl w:val="0"/>
              <w:kinsoku/>
              <w:autoSpaceDE/>
              <w:autoSpaceDN/>
              <w:spacing w:line="240" w:lineRule="exact"/>
              <w:jc w:val="center"/>
              <w:rPr>
                <w:rFonts w:ascii="Times New Roman" w:hAnsi="Times New Roman" w:cs="Times New Roman" w:eastAsiaTheme="minorEastAsia"/>
                <w:color w:val="000000" w:themeColor="text1"/>
                <w:spacing w:val="-6"/>
              </w:rPr>
            </w:pPr>
          </w:p>
        </w:tc>
      </w:tr>
      <w:tr w14:paraId="34F4B6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250" w:hRule="atLeast"/>
        </w:trPr>
        <w:tc>
          <w:tcPr>
            <w:tcW w:w="390" w:type="dxa"/>
            <w:vMerge w:val="continue"/>
            <w:tcBorders>
              <w:top w:val="single" w:color="auto" w:sz="4" w:space="0"/>
              <w:bottom w:val="single" w:color="auto" w:sz="4" w:space="0"/>
            </w:tcBorders>
            <w:vAlign w:val="center"/>
          </w:tcPr>
          <w:p w14:paraId="1655965F">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vAlign w:val="center"/>
          </w:tcPr>
          <w:p w14:paraId="31F1FD8C">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bottom w:val="nil"/>
            </w:tcBorders>
            <w:vAlign w:val="center"/>
          </w:tcPr>
          <w:p w14:paraId="791D9D91">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nil"/>
            </w:tcBorders>
            <w:vAlign w:val="center"/>
          </w:tcPr>
          <w:p w14:paraId="4BCDFC2C">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3788" w:type="dxa"/>
            <w:vAlign w:val="center"/>
          </w:tcPr>
          <w:p w14:paraId="7924B1CC">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突出“三夏”“三秋”重点时段，强化属地责任，2025年生物质露天焚烧火点数同比下降，对火点反弹的街办、园区按照相关程序进行追责问责。</w:t>
            </w:r>
          </w:p>
        </w:tc>
        <w:tc>
          <w:tcPr>
            <w:tcW w:w="1066" w:type="dxa"/>
            <w:vAlign w:val="center"/>
          </w:tcPr>
          <w:p w14:paraId="543B67C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2044AD98">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02ADC348">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64C26085">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r>
      <w:tr w14:paraId="31E2A4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146" w:hRule="atLeast"/>
        </w:trPr>
        <w:tc>
          <w:tcPr>
            <w:tcW w:w="390" w:type="dxa"/>
            <w:vMerge w:val="continue"/>
            <w:tcBorders>
              <w:top w:val="single" w:color="auto" w:sz="4" w:space="0"/>
              <w:bottom w:val="single" w:color="auto" w:sz="4" w:space="0"/>
            </w:tcBorders>
            <w:vAlign w:val="center"/>
          </w:tcPr>
          <w:p w14:paraId="40977869">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bottom w:val="single" w:color="auto" w:sz="4" w:space="0"/>
            </w:tcBorders>
            <w:vAlign w:val="center"/>
          </w:tcPr>
          <w:p w14:paraId="52A095D8">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68CB53CD">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68CB2B8A">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3788" w:type="dxa"/>
            <w:vAlign w:val="center"/>
          </w:tcPr>
          <w:p w14:paraId="20C5E43F">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以街道、村组为单元，组建巡查队伍，对各自辖区内焚烧垃圾、树叶等废弃物情况进行巡查检查，对发现的焚烧垃圾、树叶等废弃物进行及时处置。</w:t>
            </w:r>
          </w:p>
        </w:tc>
        <w:tc>
          <w:tcPr>
            <w:tcW w:w="1066" w:type="dxa"/>
            <w:vAlign w:val="center"/>
          </w:tcPr>
          <w:p w14:paraId="207CF26C">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5197CD15">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6F4A7EE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5C2CBC31">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c>
          <w:tcPr>
            <w:tcW w:w="1596" w:type="dxa"/>
            <w:vAlign w:val="center"/>
          </w:tcPr>
          <w:p w14:paraId="6AD45A17">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Align w:val="center"/>
          </w:tcPr>
          <w:p w14:paraId="2FDD72CE">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p>
        </w:tc>
      </w:tr>
      <w:tr w14:paraId="58E4DD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782" w:hRule="atLeast"/>
        </w:trPr>
        <w:tc>
          <w:tcPr>
            <w:tcW w:w="390" w:type="dxa"/>
            <w:vMerge w:val="restart"/>
            <w:tcBorders>
              <w:top w:val="single" w:color="auto" w:sz="4" w:space="0"/>
              <w:bottom w:val="single" w:color="auto" w:sz="4" w:space="0"/>
            </w:tcBorders>
            <w:vAlign w:val="center"/>
          </w:tcPr>
          <w:p w14:paraId="443482A0">
            <w:pPr>
              <w:jc w:val="center"/>
              <w:textAlignment w:val="center"/>
              <w:rPr>
                <w:rFonts w:ascii="Times New Roman" w:hAnsi="Times New Roman" w:cs="Times New Roman" w:eastAsiaTheme="minorEastAsia"/>
                <w:color w:val="000000" w:themeColor="text1"/>
                <w:spacing w:val="-6"/>
              </w:rPr>
            </w:pPr>
            <w:r>
              <w:rPr>
                <w:rFonts w:ascii="Times New Roman" w:hAnsi="Times New Roman" w:eastAsia="宋体" w:cs="Times New Roman"/>
                <w:lang w:eastAsia="zh-CN"/>
              </w:rPr>
              <w:t>66</w:t>
            </w:r>
          </w:p>
        </w:tc>
        <w:tc>
          <w:tcPr>
            <w:tcW w:w="885" w:type="dxa"/>
            <w:vMerge w:val="restart"/>
            <w:tcBorders>
              <w:top w:val="single" w:color="auto" w:sz="4" w:space="0"/>
            </w:tcBorders>
            <w:vAlign w:val="center"/>
          </w:tcPr>
          <w:p w14:paraId="03EFF513">
            <w:pPr>
              <w:widowControl w:val="0"/>
              <w:tabs>
                <w:tab w:val="left" w:pos="561"/>
              </w:tabs>
              <w:kinsoku/>
              <w:autoSpaceDE/>
              <w:autoSpaceDN/>
              <w:spacing w:line="270" w:lineRule="exact"/>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rPr>
              <w:t>面源综合治理行动</w:t>
            </w:r>
          </w:p>
        </w:tc>
        <w:tc>
          <w:tcPr>
            <w:tcW w:w="1432" w:type="dxa"/>
            <w:vMerge w:val="restart"/>
            <w:tcBorders>
              <w:bottom w:val="nil"/>
            </w:tcBorders>
            <w:vAlign w:val="center"/>
          </w:tcPr>
          <w:p w14:paraId="72960798">
            <w:pPr>
              <w:pStyle w:val="11"/>
              <w:widowControl w:val="0"/>
              <w:kinsoku/>
              <w:autoSpaceDE/>
              <w:autoSpaceDN/>
              <w:spacing w:line="25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严控不文明祭扫行为</w:t>
            </w:r>
          </w:p>
        </w:tc>
        <w:tc>
          <w:tcPr>
            <w:tcW w:w="2542" w:type="dxa"/>
            <w:vMerge w:val="restart"/>
            <w:tcBorders>
              <w:bottom w:val="nil"/>
            </w:tcBorders>
            <w:vAlign w:val="center"/>
          </w:tcPr>
          <w:p w14:paraId="0A80762B">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加强宣传引导，有效管控全区殡葬服务机构纸扎物品的焚烧行为，积极倡导市民文明祭祀。</w:t>
            </w:r>
          </w:p>
        </w:tc>
        <w:tc>
          <w:tcPr>
            <w:tcW w:w="3788" w:type="dxa"/>
            <w:vAlign w:val="center"/>
          </w:tcPr>
          <w:p w14:paraId="3A41078F">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强化统筹部署和职责分工，压实属地责任，严格落实绿色环保祭祀工作要求。</w:t>
            </w:r>
          </w:p>
        </w:tc>
        <w:tc>
          <w:tcPr>
            <w:tcW w:w="1066" w:type="dxa"/>
            <w:vAlign w:val="center"/>
          </w:tcPr>
          <w:p w14:paraId="43C723C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172E0C6A">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区民政局</w:t>
            </w:r>
          </w:p>
        </w:tc>
        <w:tc>
          <w:tcPr>
            <w:tcW w:w="1596" w:type="dxa"/>
            <w:vMerge w:val="restart"/>
            <w:tcBorders>
              <w:bottom w:val="nil"/>
            </w:tcBorders>
            <w:vAlign w:val="center"/>
          </w:tcPr>
          <w:p w14:paraId="302B7C3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Merge w:val="restart"/>
            <w:tcBorders>
              <w:bottom w:val="nil"/>
            </w:tcBorders>
            <w:vAlign w:val="center"/>
          </w:tcPr>
          <w:p w14:paraId="1326EBC7">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4437D5C2">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3E2D08A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CF520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974" w:hRule="atLeast"/>
        </w:trPr>
        <w:tc>
          <w:tcPr>
            <w:tcW w:w="390" w:type="dxa"/>
            <w:vMerge w:val="continue"/>
            <w:tcBorders>
              <w:top w:val="single" w:color="auto" w:sz="4" w:space="0"/>
              <w:bottom w:val="single" w:color="auto" w:sz="4" w:space="0"/>
            </w:tcBorders>
            <w:vAlign w:val="center"/>
          </w:tcPr>
          <w:p w14:paraId="2A96BC18">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top w:val="single" w:color="auto" w:sz="4" w:space="0"/>
              <w:bottom w:val="single" w:color="auto" w:sz="4" w:space="0"/>
            </w:tcBorders>
            <w:vAlign w:val="center"/>
          </w:tcPr>
          <w:p w14:paraId="0BD7035A">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bottom w:val="nil"/>
            </w:tcBorders>
            <w:vAlign w:val="center"/>
          </w:tcPr>
          <w:p w14:paraId="18214310">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nil"/>
            </w:tcBorders>
            <w:vAlign w:val="center"/>
          </w:tcPr>
          <w:p w14:paraId="58D49F7F">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3788" w:type="dxa"/>
            <w:vAlign w:val="center"/>
          </w:tcPr>
          <w:p w14:paraId="286B2391">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抓实宣传工作，倡导广大群众通过鲜花祭扫、植树祭扫、网络祭扫、家庭追思会、社区公祭等文明祭祀形式。</w:t>
            </w:r>
          </w:p>
        </w:tc>
        <w:tc>
          <w:tcPr>
            <w:tcW w:w="1066" w:type="dxa"/>
            <w:vAlign w:val="center"/>
          </w:tcPr>
          <w:p w14:paraId="70C7AB36">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bottom w:val="nil"/>
            </w:tcBorders>
            <w:vAlign w:val="center"/>
          </w:tcPr>
          <w:p w14:paraId="305325B4">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bottom w:val="nil"/>
            </w:tcBorders>
            <w:vAlign w:val="center"/>
          </w:tcPr>
          <w:p w14:paraId="2C06566C">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bottom w:val="nil"/>
            </w:tcBorders>
            <w:vAlign w:val="center"/>
          </w:tcPr>
          <w:p w14:paraId="1B10CFD4">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r>
      <w:tr w14:paraId="5A862E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801" w:hRule="atLeast"/>
        </w:trPr>
        <w:tc>
          <w:tcPr>
            <w:tcW w:w="390" w:type="dxa"/>
            <w:vMerge w:val="continue"/>
            <w:tcBorders>
              <w:top w:val="single" w:color="auto" w:sz="4" w:space="0"/>
              <w:bottom w:val="single" w:color="auto" w:sz="4" w:space="0"/>
            </w:tcBorders>
            <w:vAlign w:val="center"/>
          </w:tcPr>
          <w:p w14:paraId="41E78220">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885" w:type="dxa"/>
            <w:vMerge w:val="continue"/>
            <w:tcBorders>
              <w:top w:val="single" w:color="auto" w:sz="4" w:space="0"/>
              <w:bottom w:val="single" w:color="auto" w:sz="4" w:space="0"/>
            </w:tcBorders>
            <w:vAlign w:val="center"/>
          </w:tcPr>
          <w:p w14:paraId="0A8545D0">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4C8474E7">
            <w:pPr>
              <w:widowControl w:val="0"/>
              <w:kinsoku/>
              <w:autoSpaceDE/>
              <w:autoSpaceDN/>
              <w:spacing w:line="26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0525AA85">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3788" w:type="dxa"/>
            <w:vAlign w:val="center"/>
          </w:tcPr>
          <w:p w14:paraId="5D36696E">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加强祭祀用品焚烧及烟花爆竹燃放管控工作，发现露天焚烧行为及时劝阻。</w:t>
            </w:r>
          </w:p>
        </w:tc>
        <w:tc>
          <w:tcPr>
            <w:tcW w:w="1066" w:type="dxa"/>
            <w:vAlign w:val="center"/>
          </w:tcPr>
          <w:p w14:paraId="22687B56">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0FEE02EE">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1C2FED19">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29BFED20">
            <w:pPr>
              <w:widowControl w:val="0"/>
              <w:kinsoku/>
              <w:autoSpaceDE/>
              <w:autoSpaceDN/>
              <w:spacing w:line="250" w:lineRule="exact"/>
              <w:jc w:val="center"/>
              <w:rPr>
                <w:rFonts w:ascii="Times New Roman" w:hAnsi="Times New Roman" w:cs="Times New Roman" w:eastAsiaTheme="minorEastAsia"/>
                <w:color w:val="000000" w:themeColor="text1"/>
                <w:spacing w:val="-6"/>
              </w:rPr>
            </w:pPr>
          </w:p>
        </w:tc>
      </w:tr>
      <w:tr w14:paraId="4D0F9A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tcBorders>
              <w:top w:val="single" w:color="auto" w:sz="4" w:space="0"/>
              <w:bottom w:val="single" w:color="auto" w:sz="4" w:space="0"/>
            </w:tcBorders>
            <w:vAlign w:val="center"/>
          </w:tcPr>
          <w:p w14:paraId="064BB7AF">
            <w:pPr>
              <w:jc w:val="center"/>
              <w:textAlignment w:val="center"/>
              <w:rPr>
                <w:rFonts w:ascii="Times New Roman" w:hAnsi="Times New Roman" w:cs="Times New Roman" w:eastAsiaTheme="minorEastAsia"/>
                <w:color w:val="000000" w:themeColor="text1"/>
                <w:lang w:eastAsia="zh-CN"/>
              </w:rPr>
            </w:pPr>
            <w:r>
              <w:rPr>
                <w:rFonts w:ascii="Times New Roman" w:hAnsi="Times New Roman" w:eastAsia="宋体" w:cs="Times New Roman"/>
                <w:lang w:eastAsia="zh-CN"/>
              </w:rPr>
              <w:t>67</w:t>
            </w:r>
          </w:p>
        </w:tc>
        <w:tc>
          <w:tcPr>
            <w:tcW w:w="885" w:type="dxa"/>
            <w:vMerge w:val="restart"/>
            <w:tcBorders>
              <w:top w:val="single" w:color="auto" w:sz="4" w:space="0"/>
              <w:bottom w:val="single" w:color="auto" w:sz="4" w:space="0"/>
            </w:tcBorders>
            <w:vAlign w:val="center"/>
          </w:tcPr>
          <w:p w14:paraId="56453D4D">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保障</w:t>
            </w:r>
          </w:p>
          <w:p w14:paraId="745D898A">
            <w:pPr>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措施</w:t>
            </w:r>
          </w:p>
        </w:tc>
        <w:tc>
          <w:tcPr>
            <w:tcW w:w="1432" w:type="dxa"/>
            <w:tcBorders>
              <w:bottom w:val="single" w:color="auto" w:sz="4" w:space="0"/>
            </w:tcBorders>
            <w:vAlign w:val="center"/>
          </w:tcPr>
          <w:p w14:paraId="6374BF7A">
            <w:pPr>
              <w:pStyle w:val="11"/>
              <w:widowControl w:val="0"/>
              <w:kinsoku/>
              <w:autoSpaceDE/>
              <w:autoSpaceDN/>
              <w:spacing w:line="25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加强组织领导</w:t>
            </w:r>
          </w:p>
        </w:tc>
        <w:tc>
          <w:tcPr>
            <w:tcW w:w="2542" w:type="dxa"/>
            <w:tcBorders>
              <w:bottom w:val="single" w:color="auto" w:sz="4" w:space="0"/>
            </w:tcBorders>
            <w:vAlign w:val="center"/>
          </w:tcPr>
          <w:p w14:paraId="7153B560">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坚持和加强党对大气污染防治工作的全面领导，我区对本区域空气质量负总责。要加强统筹协调，做好调度评估，将空气质量改善目标完成情况作为深入打好污染防治攻坚战成效考核的重要内容。各区级部门要协同配合落实任务分工，出台政策时统筹考虑空气质量持续改善需求。</w:t>
            </w:r>
          </w:p>
        </w:tc>
        <w:tc>
          <w:tcPr>
            <w:tcW w:w="3788" w:type="dxa"/>
            <w:tcBorders>
              <w:bottom w:val="single" w:color="auto" w:sz="4" w:space="0"/>
            </w:tcBorders>
            <w:vAlign w:val="center"/>
          </w:tcPr>
          <w:p w14:paraId="58E2C3DB">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严格落实重点区域网格包抓机制。加密做实网格管理，充分发挥好镇（街）在</w:t>
            </w:r>
          </w:p>
          <w:p w14:paraId="37C691A7">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大气污染治理中“多功能”战斗队作用，形成条块结合、协同联动、分类施策、齐抓共管的管控格局，提高重点区域环境监管效能。</w:t>
            </w:r>
          </w:p>
        </w:tc>
        <w:tc>
          <w:tcPr>
            <w:tcW w:w="1066" w:type="dxa"/>
            <w:tcBorders>
              <w:bottom w:val="single" w:color="auto" w:sz="4" w:space="0"/>
            </w:tcBorders>
            <w:vAlign w:val="center"/>
          </w:tcPr>
          <w:p w14:paraId="637774E2">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tcBorders>
              <w:bottom w:val="single" w:color="auto" w:sz="4" w:space="0"/>
            </w:tcBorders>
            <w:vAlign w:val="center"/>
          </w:tcPr>
          <w:p w14:paraId="0CA5288E">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tcBorders>
              <w:bottom w:val="single" w:color="auto" w:sz="4" w:space="0"/>
            </w:tcBorders>
            <w:vAlign w:val="center"/>
          </w:tcPr>
          <w:p w14:paraId="09C35B3E">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tc>
        <w:tc>
          <w:tcPr>
            <w:tcW w:w="1359" w:type="dxa"/>
            <w:tcBorders>
              <w:bottom w:val="single" w:color="auto" w:sz="4" w:space="0"/>
            </w:tcBorders>
            <w:vAlign w:val="center"/>
          </w:tcPr>
          <w:p w14:paraId="439CE01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6ABC2BC4">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007CA8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top w:val="single" w:color="auto" w:sz="4" w:space="0"/>
              <w:left w:val="single" w:color="auto" w:sz="4" w:space="0"/>
              <w:bottom w:val="single" w:color="auto" w:sz="4" w:space="0"/>
              <w:right w:val="single" w:color="auto" w:sz="4" w:space="0"/>
            </w:tcBorders>
            <w:vAlign w:val="center"/>
          </w:tcPr>
          <w:p w14:paraId="60F2C27C">
            <w:pPr>
              <w:jc w:val="center"/>
              <w:textAlignment w:val="center"/>
              <w:rPr>
                <w:rFonts w:ascii="Times New Roman" w:hAnsi="Times New Roman" w:cs="Times New Roman" w:eastAsiaTheme="minorEastAsia"/>
                <w:lang w:eastAsia="zh-CN"/>
              </w:rPr>
            </w:pPr>
            <w:r>
              <w:rPr>
                <w:rFonts w:ascii="Times New Roman" w:hAnsi="Times New Roman" w:eastAsia="宋体" w:cs="Times New Roman"/>
                <w:lang w:eastAsia="zh-CN"/>
              </w:rPr>
              <w:t>68</w:t>
            </w:r>
          </w:p>
        </w:tc>
        <w:tc>
          <w:tcPr>
            <w:tcW w:w="885" w:type="dxa"/>
            <w:vMerge w:val="continue"/>
            <w:tcBorders>
              <w:top w:val="single" w:color="auto" w:sz="4" w:space="0"/>
              <w:left w:val="single" w:color="auto" w:sz="4" w:space="0"/>
              <w:bottom w:val="single" w:color="auto" w:sz="4" w:space="0"/>
              <w:right w:val="single" w:color="auto" w:sz="4" w:space="0"/>
            </w:tcBorders>
            <w:vAlign w:val="center"/>
          </w:tcPr>
          <w:p w14:paraId="58D267EF">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restart"/>
            <w:tcBorders>
              <w:top w:val="single" w:color="auto" w:sz="4" w:space="0"/>
              <w:left w:val="single" w:color="auto" w:sz="4" w:space="0"/>
              <w:bottom w:val="single" w:color="auto" w:sz="4" w:space="0"/>
              <w:right w:val="single" w:color="auto" w:sz="4" w:space="0"/>
            </w:tcBorders>
            <w:vAlign w:val="center"/>
          </w:tcPr>
          <w:p w14:paraId="28041A0B">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强化政策支撑</w:t>
            </w:r>
          </w:p>
        </w:tc>
        <w:tc>
          <w:tcPr>
            <w:tcW w:w="2542" w:type="dxa"/>
            <w:vMerge w:val="restart"/>
            <w:tcBorders>
              <w:top w:val="single" w:color="auto" w:sz="4" w:space="0"/>
              <w:left w:val="single" w:color="auto" w:sz="4" w:space="0"/>
              <w:bottom w:val="single" w:color="auto" w:sz="4" w:space="0"/>
              <w:right w:val="single" w:color="auto" w:sz="4" w:space="0"/>
            </w:tcBorders>
            <w:vAlign w:val="center"/>
          </w:tcPr>
          <w:p w14:paraId="6695E780">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按照市级财政资金分配办法，做好相关资金保障工作。落实农村地区煤改洁用户运行费用补贴政策。落实我省电价政策，完善气价、热价管理机制。落实排污权、碳排放权等交易机制，实施企业环境信用评价制度。做好做实大气污染防治类项目储备，积极争取中央、省、市级资金支持。</w:t>
            </w:r>
          </w:p>
        </w:tc>
        <w:tc>
          <w:tcPr>
            <w:tcW w:w="3788" w:type="dxa"/>
            <w:tcBorders>
              <w:top w:val="single" w:color="auto" w:sz="4" w:space="0"/>
              <w:left w:val="single" w:color="auto" w:sz="4" w:space="0"/>
              <w:bottom w:val="single" w:color="auto" w:sz="4" w:space="0"/>
              <w:right w:val="single" w:color="auto" w:sz="4" w:space="0"/>
            </w:tcBorders>
            <w:vAlign w:val="center"/>
          </w:tcPr>
          <w:p w14:paraId="1594B1D8">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加大资金支持力度，按照市级财政资金分配办法，做好相关资金保障工作。</w:t>
            </w:r>
          </w:p>
        </w:tc>
        <w:tc>
          <w:tcPr>
            <w:tcW w:w="1066" w:type="dxa"/>
            <w:tcBorders>
              <w:top w:val="single" w:color="auto" w:sz="4" w:space="0"/>
              <w:left w:val="single" w:color="auto" w:sz="4" w:space="0"/>
              <w:bottom w:val="single" w:color="auto" w:sz="4" w:space="0"/>
              <w:right w:val="single" w:color="auto" w:sz="4" w:space="0"/>
            </w:tcBorders>
            <w:vAlign w:val="center"/>
          </w:tcPr>
          <w:p w14:paraId="3F84C8B3">
            <w:pPr>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tcBorders>
              <w:top w:val="single" w:color="auto" w:sz="4" w:space="0"/>
              <w:left w:val="single" w:color="auto" w:sz="4" w:space="0"/>
              <w:bottom w:val="single" w:color="auto" w:sz="4" w:space="0"/>
              <w:right w:val="single" w:color="auto" w:sz="4" w:space="0"/>
            </w:tcBorders>
            <w:vAlign w:val="center"/>
          </w:tcPr>
          <w:p w14:paraId="511C83E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区财政局</w:t>
            </w:r>
          </w:p>
        </w:tc>
        <w:tc>
          <w:tcPr>
            <w:tcW w:w="1596" w:type="dxa"/>
            <w:tcBorders>
              <w:top w:val="single" w:color="auto" w:sz="4" w:space="0"/>
              <w:left w:val="single" w:color="auto" w:sz="4" w:space="0"/>
              <w:bottom w:val="single" w:color="auto" w:sz="4" w:space="0"/>
              <w:right w:val="single" w:color="auto" w:sz="4" w:space="0"/>
            </w:tcBorders>
            <w:vAlign w:val="center"/>
          </w:tcPr>
          <w:p w14:paraId="32CAD700">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tc>
        <w:tc>
          <w:tcPr>
            <w:tcW w:w="1359" w:type="dxa"/>
            <w:tcBorders>
              <w:top w:val="single" w:color="auto" w:sz="4" w:space="0"/>
              <w:left w:val="single" w:color="auto" w:sz="4" w:space="0"/>
              <w:bottom w:val="single" w:color="auto" w:sz="4" w:space="0"/>
              <w:right w:val="single" w:color="auto" w:sz="4" w:space="0"/>
            </w:tcBorders>
            <w:vAlign w:val="center"/>
          </w:tcPr>
          <w:p w14:paraId="4874E67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6C4A8F0C">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148809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single" w:color="auto" w:sz="4" w:space="0"/>
              <w:left w:val="single" w:color="auto" w:sz="4" w:space="0"/>
              <w:bottom w:val="single" w:color="auto" w:sz="4" w:space="0"/>
              <w:right w:val="single" w:color="auto" w:sz="4" w:space="0"/>
            </w:tcBorders>
            <w:vAlign w:val="center"/>
          </w:tcPr>
          <w:p w14:paraId="10827263">
            <w:pPr>
              <w:widowControl w:val="0"/>
              <w:kinsoku/>
              <w:autoSpaceDE/>
              <w:autoSpaceDN/>
              <w:jc w:val="center"/>
              <w:textAlignment w:val="center"/>
              <w:rPr>
                <w:rFonts w:ascii="Times New Roman" w:hAnsi="Times New Roman" w:cs="Times New Roman" w:eastAsiaTheme="minorEastAsia"/>
                <w:lang w:eastAsia="zh-CN"/>
              </w:rPr>
            </w:pPr>
          </w:p>
        </w:tc>
        <w:tc>
          <w:tcPr>
            <w:tcW w:w="885" w:type="dxa"/>
            <w:vMerge w:val="continue"/>
            <w:tcBorders>
              <w:top w:val="single" w:color="auto" w:sz="4" w:space="0"/>
              <w:left w:val="single" w:color="auto" w:sz="4" w:space="0"/>
              <w:bottom w:val="single" w:color="auto" w:sz="4" w:space="0"/>
              <w:right w:val="single" w:color="auto" w:sz="4" w:space="0"/>
            </w:tcBorders>
            <w:vAlign w:val="center"/>
          </w:tcPr>
          <w:p w14:paraId="545BBDB5">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single" w:color="auto" w:sz="4" w:space="0"/>
              <w:left w:val="single" w:color="auto" w:sz="4" w:space="0"/>
              <w:bottom w:val="single" w:color="auto" w:sz="4" w:space="0"/>
              <w:right w:val="single" w:color="auto" w:sz="4" w:space="0"/>
            </w:tcBorders>
            <w:vAlign w:val="center"/>
          </w:tcPr>
          <w:p w14:paraId="4F3DF4FE">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single" w:color="auto" w:sz="4" w:space="0"/>
              <w:left w:val="single" w:color="auto" w:sz="4" w:space="0"/>
              <w:bottom w:val="single" w:color="auto" w:sz="4" w:space="0"/>
              <w:right w:val="single" w:color="auto" w:sz="4" w:space="0"/>
            </w:tcBorders>
            <w:vAlign w:val="center"/>
          </w:tcPr>
          <w:p w14:paraId="62BAA616">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p>
        </w:tc>
        <w:tc>
          <w:tcPr>
            <w:tcW w:w="3788" w:type="dxa"/>
            <w:tcBorders>
              <w:top w:val="single" w:color="auto" w:sz="4" w:space="0"/>
              <w:left w:val="single" w:color="auto" w:sz="4" w:space="0"/>
              <w:bottom w:val="single" w:color="auto" w:sz="4" w:space="0"/>
              <w:right w:val="single" w:color="auto" w:sz="4" w:space="0"/>
            </w:tcBorders>
            <w:vAlign w:val="center"/>
          </w:tcPr>
          <w:p w14:paraId="502EFAD0">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持续加大农村清洁取暖补贴力度，积极筹措补助资金，及时向煤改洁用户兑付补贴资金，提升资金使用效率。</w:t>
            </w:r>
          </w:p>
        </w:tc>
        <w:tc>
          <w:tcPr>
            <w:tcW w:w="1066" w:type="dxa"/>
            <w:tcBorders>
              <w:top w:val="single" w:color="auto" w:sz="4" w:space="0"/>
              <w:left w:val="single" w:color="auto" w:sz="4" w:space="0"/>
              <w:bottom w:val="single" w:color="auto" w:sz="4" w:space="0"/>
              <w:right w:val="single" w:color="auto" w:sz="4" w:space="0"/>
            </w:tcBorders>
            <w:vAlign w:val="center"/>
          </w:tcPr>
          <w:p w14:paraId="29205F52">
            <w:pPr>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top w:val="single" w:color="auto" w:sz="4" w:space="0"/>
              <w:left w:val="single" w:color="auto" w:sz="4" w:space="0"/>
              <w:bottom w:val="single" w:color="auto" w:sz="4" w:space="0"/>
              <w:right w:val="single" w:color="auto" w:sz="4" w:space="0"/>
            </w:tcBorders>
            <w:vAlign w:val="center"/>
          </w:tcPr>
          <w:p w14:paraId="50A1986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区发改委</w:t>
            </w:r>
          </w:p>
        </w:tc>
        <w:tc>
          <w:tcPr>
            <w:tcW w:w="1596" w:type="dxa"/>
            <w:tcBorders>
              <w:top w:val="single" w:color="auto" w:sz="4" w:space="0"/>
              <w:left w:val="single" w:color="auto" w:sz="4" w:space="0"/>
              <w:bottom w:val="single" w:color="auto" w:sz="4" w:space="0"/>
              <w:right w:val="single" w:color="auto" w:sz="4" w:space="0"/>
            </w:tcBorders>
            <w:vAlign w:val="center"/>
          </w:tcPr>
          <w:p w14:paraId="792364A8">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区财政局</w:t>
            </w:r>
          </w:p>
        </w:tc>
        <w:tc>
          <w:tcPr>
            <w:tcW w:w="1359" w:type="dxa"/>
            <w:tcBorders>
              <w:top w:val="single" w:color="auto" w:sz="4" w:space="0"/>
              <w:left w:val="single" w:color="auto" w:sz="4" w:space="0"/>
              <w:bottom w:val="single" w:color="auto" w:sz="4" w:space="0"/>
              <w:right w:val="single" w:color="auto" w:sz="4" w:space="0"/>
            </w:tcBorders>
            <w:vAlign w:val="center"/>
          </w:tcPr>
          <w:p w14:paraId="5BE0548D">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1FCE8CA1">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6E227F8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DCF0F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single" w:color="auto" w:sz="4" w:space="0"/>
              <w:left w:val="single" w:color="auto" w:sz="4" w:space="0"/>
              <w:bottom w:val="single" w:color="auto" w:sz="4" w:space="0"/>
              <w:right w:val="single" w:color="auto" w:sz="4" w:space="0"/>
            </w:tcBorders>
            <w:vAlign w:val="center"/>
          </w:tcPr>
          <w:p w14:paraId="6BF5316A">
            <w:pPr>
              <w:widowControl w:val="0"/>
              <w:kinsoku/>
              <w:autoSpaceDE/>
              <w:autoSpaceDN/>
              <w:jc w:val="center"/>
              <w:textAlignment w:val="center"/>
              <w:rPr>
                <w:rFonts w:ascii="Times New Roman" w:hAnsi="Times New Roman" w:cs="Times New Roman" w:eastAsiaTheme="minorEastAsia"/>
                <w:lang w:eastAsia="zh-CN"/>
              </w:rPr>
            </w:pPr>
          </w:p>
        </w:tc>
        <w:tc>
          <w:tcPr>
            <w:tcW w:w="885" w:type="dxa"/>
            <w:vMerge w:val="continue"/>
            <w:tcBorders>
              <w:top w:val="single" w:color="auto" w:sz="4" w:space="0"/>
              <w:left w:val="single" w:color="auto" w:sz="4" w:space="0"/>
              <w:bottom w:val="single" w:color="auto" w:sz="4" w:space="0"/>
              <w:right w:val="single" w:color="auto" w:sz="4" w:space="0"/>
            </w:tcBorders>
            <w:vAlign w:val="center"/>
          </w:tcPr>
          <w:p w14:paraId="3A2AD37D">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auto" w:sz="4" w:space="0"/>
              <w:left w:val="single" w:color="auto" w:sz="4" w:space="0"/>
              <w:bottom w:val="single" w:color="auto" w:sz="4" w:space="0"/>
              <w:right w:val="single" w:color="auto" w:sz="4" w:space="0"/>
            </w:tcBorders>
            <w:vAlign w:val="center"/>
          </w:tcPr>
          <w:p w14:paraId="29D4A6A9">
            <w:pPr>
              <w:pStyle w:val="11"/>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2542" w:type="dxa"/>
            <w:vMerge w:val="continue"/>
            <w:tcBorders>
              <w:top w:val="single" w:color="auto" w:sz="4" w:space="0"/>
              <w:left w:val="single" w:color="auto" w:sz="4" w:space="0"/>
              <w:bottom w:val="single" w:color="auto" w:sz="4" w:space="0"/>
              <w:right w:val="single" w:color="auto" w:sz="4" w:space="0"/>
            </w:tcBorders>
            <w:vAlign w:val="center"/>
          </w:tcPr>
          <w:p w14:paraId="126437BF">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p>
        </w:tc>
        <w:tc>
          <w:tcPr>
            <w:tcW w:w="3788" w:type="dxa"/>
            <w:tcBorders>
              <w:top w:val="single" w:color="auto" w:sz="4" w:space="0"/>
              <w:left w:val="single" w:color="auto" w:sz="4" w:space="0"/>
              <w:bottom w:val="single" w:color="auto" w:sz="4" w:space="0"/>
              <w:right w:val="single" w:color="auto" w:sz="4" w:space="0"/>
            </w:tcBorders>
            <w:vAlign w:val="center"/>
          </w:tcPr>
          <w:p w14:paraId="293B5A67">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严格落实我省节能环保电价政策，全面清理高耗能、高污染行业电价优惠政策，对淘汰类和限制类企业用电执行差别电价政策。落实我省电价政策，完善气价、热价管理机制，积极落实能源合同管理服务模式，降低清洁能源供应成本。</w:t>
            </w:r>
          </w:p>
        </w:tc>
        <w:tc>
          <w:tcPr>
            <w:tcW w:w="1066" w:type="dxa"/>
            <w:tcBorders>
              <w:top w:val="single" w:color="auto" w:sz="4" w:space="0"/>
              <w:left w:val="single" w:color="auto" w:sz="4" w:space="0"/>
              <w:bottom w:val="single" w:color="auto" w:sz="4" w:space="0"/>
              <w:right w:val="single" w:color="auto" w:sz="4" w:space="0"/>
            </w:tcBorders>
            <w:vAlign w:val="center"/>
          </w:tcPr>
          <w:p w14:paraId="24A8412B">
            <w:pPr>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single" w:color="auto" w:sz="4" w:space="0"/>
              <w:left w:val="single" w:color="auto" w:sz="4" w:space="0"/>
              <w:bottom w:val="single" w:color="auto" w:sz="4" w:space="0"/>
              <w:right w:val="single" w:color="auto" w:sz="4" w:space="0"/>
            </w:tcBorders>
            <w:vAlign w:val="center"/>
          </w:tcPr>
          <w:p w14:paraId="59798C6B">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c>
          <w:tcPr>
            <w:tcW w:w="1596" w:type="dxa"/>
            <w:tcBorders>
              <w:top w:val="single" w:color="auto" w:sz="4" w:space="0"/>
              <w:left w:val="single" w:color="auto" w:sz="4" w:space="0"/>
              <w:bottom w:val="single" w:color="auto" w:sz="4" w:space="0"/>
              <w:right w:val="single" w:color="auto" w:sz="4" w:space="0"/>
            </w:tcBorders>
            <w:vAlign w:val="center"/>
          </w:tcPr>
          <w:p w14:paraId="3CD2D26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6C67A54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资源规划分局</w:t>
            </w:r>
          </w:p>
          <w:p w14:paraId="35700CA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区市场监管局</w:t>
            </w:r>
          </w:p>
        </w:tc>
        <w:tc>
          <w:tcPr>
            <w:tcW w:w="1359" w:type="dxa"/>
            <w:tcBorders>
              <w:top w:val="single" w:color="auto" w:sz="4" w:space="0"/>
              <w:left w:val="single" w:color="auto" w:sz="4" w:space="0"/>
              <w:bottom w:val="single" w:color="auto" w:sz="4" w:space="0"/>
              <w:right w:val="single" w:color="auto" w:sz="4" w:space="0"/>
            </w:tcBorders>
            <w:vAlign w:val="center"/>
          </w:tcPr>
          <w:p w14:paraId="54A651A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362639BB">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339A8638">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0D332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single" w:color="auto" w:sz="4" w:space="0"/>
              <w:left w:val="single" w:color="auto" w:sz="4" w:space="0"/>
              <w:bottom w:val="single" w:color="auto" w:sz="4" w:space="0"/>
              <w:right w:val="single" w:color="auto" w:sz="4" w:space="0"/>
            </w:tcBorders>
            <w:vAlign w:val="center"/>
          </w:tcPr>
          <w:p w14:paraId="2561B9B0">
            <w:pPr>
              <w:widowControl w:val="0"/>
              <w:kinsoku/>
              <w:autoSpaceDE/>
              <w:autoSpaceDN/>
              <w:jc w:val="center"/>
              <w:textAlignment w:val="center"/>
              <w:rPr>
                <w:rFonts w:ascii="Times New Roman" w:hAnsi="Times New Roman" w:cs="Times New Roman" w:eastAsiaTheme="minorEastAsia"/>
                <w:lang w:eastAsia="zh-CN"/>
              </w:rPr>
            </w:pPr>
          </w:p>
        </w:tc>
        <w:tc>
          <w:tcPr>
            <w:tcW w:w="885" w:type="dxa"/>
            <w:vMerge w:val="continue"/>
            <w:tcBorders>
              <w:top w:val="single" w:color="auto" w:sz="4" w:space="0"/>
              <w:left w:val="single" w:color="auto" w:sz="4" w:space="0"/>
              <w:bottom w:val="single" w:color="auto" w:sz="4" w:space="0"/>
              <w:right w:val="single" w:color="auto" w:sz="4" w:space="0"/>
            </w:tcBorders>
            <w:vAlign w:val="center"/>
          </w:tcPr>
          <w:p w14:paraId="6B8160A9">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auto" w:sz="4" w:space="0"/>
              <w:left w:val="single" w:color="auto" w:sz="4" w:space="0"/>
              <w:bottom w:val="single" w:color="auto" w:sz="4" w:space="0"/>
              <w:right w:val="single" w:color="auto" w:sz="4" w:space="0"/>
            </w:tcBorders>
            <w:vAlign w:val="center"/>
          </w:tcPr>
          <w:p w14:paraId="1E0BDA68">
            <w:pPr>
              <w:pStyle w:val="11"/>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2542" w:type="dxa"/>
            <w:vMerge w:val="continue"/>
            <w:tcBorders>
              <w:top w:val="single" w:color="auto" w:sz="4" w:space="0"/>
              <w:left w:val="single" w:color="auto" w:sz="4" w:space="0"/>
              <w:bottom w:val="single" w:color="auto" w:sz="4" w:space="0"/>
              <w:right w:val="single" w:color="auto" w:sz="4" w:space="0"/>
            </w:tcBorders>
            <w:vAlign w:val="center"/>
          </w:tcPr>
          <w:p w14:paraId="4EA4F0C6">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p>
        </w:tc>
        <w:tc>
          <w:tcPr>
            <w:tcW w:w="3788" w:type="dxa"/>
            <w:tcBorders>
              <w:top w:val="single" w:color="auto" w:sz="4" w:space="0"/>
              <w:left w:val="single" w:color="auto" w:sz="4" w:space="0"/>
              <w:bottom w:val="single" w:color="auto" w:sz="4" w:space="0"/>
              <w:right w:val="single" w:color="auto" w:sz="4" w:space="0"/>
            </w:tcBorders>
            <w:vAlign w:val="center"/>
          </w:tcPr>
          <w:p w14:paraId="154B70F0">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积极争取中央和我省生态环境保护专项资金，推进重大涉气项目储备和建设，各区县、开发区和市级相关部门积极谋划重点工程和项目。</w:t>
            </w:r>
          </w:p>
        </w:tc>
        <w:tc>
          <w:tcPr>
            <w:tcW w:w="1066" w:type="dxa"/>
            <w:tcBorders>
              <w:top w:val="single" w:color="auto" w:sz="4" w:space="0"/>
              <w:left w:val="single" w:color="auto" w:sz="4" w:space="0"/>
              <w:bottom w:val="single" w:color="auto" w:sz="4" w:space="0"/>
              <w:right w:val="single" w:color="auto" w:sz="4" w:space="0"/>
            </w:tcBorders>
            <w:vAlign w:val="center"/>
          </w:tcPr>
          <w:p w14:paraId="200F75F7">
            <w:pPr>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top w:val="single" w:color="auto" w:sz="4" w:space="0"/>
              <w:left w:val="single" w:color="auto" w:sz="4" w:space="0"/>
              <w:bottom w:val="single" w:color="auto" w:sz="4" w:space="0"/>
              <w:right w:val="single" w:color="auto" w:sz="4" w:space="0"/>
            </w:tcBorders>
            <w:vAlign w:val="center"/>
          </w:tcPr>
          <w:p w14:paraId="29468C7D">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tcBorders>
              <w:top w:val="single" w:color="auto" w:sz="4" w:space="0"/>
              <w:left w:val="single" w:color="auto" w:sz="4" w:space="0"/>
              <w:bottom w:val="single" w:color="auto" w:sz="4" w:space="0"/>
              <w:right w:val="single" w:color="auto" w:sz="4" w:space="0"/>
            </w:tcBorders>
            <w:vAlign w:val="center"/>
          </w:tcPr>
          <w:p w14:paraId="4DE8C9F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区财政局</w:t>
            </w:r>
          </w:p>
          <w:p w14:paraId="14B93C68">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tc>
        <w:tc>
          <w:tcPr>
            <w:tcW w:w="1359" w:type="dxa"/>
            <w:tcBorders>
              <w:top w:val="single" w:color="auto" w:sz="4" w:space="0"/>
              <w:left w:val="single" w:color="auto" w:sz="4" w:space="0"/>
              <w:bottom w:val="single" w:color="auto" w:sz="4" w:space="0"/>
              <w:right w:val="single" w:color="auto" w:sz="4" w:space="0"/>
            </w:tcBorders>
            <w:vAlign w:val="center"/>
          </w:tcPr>
          <w:p w14:paraId="0E17E0B7">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33F056D0">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43B17E3C">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BFF26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single" w:color="auto" w:sz="4" w:space="0"/>
              <w:left w:val="single" w:color="auto" w:sz="4" w:space="0"/>
              <w:bottom w:val="single" w:color="auto" w:sz="4" w:space="0"/>
              <w:right w:val="single" w:color="auto" w:sz="4" w:space="0"/>
            </w:tcBorders>
            <w:vAlign w:val="center"/>
          </w:tcPr>
          <w:p w14:paraId="3AECDF61">
            <w:pPr>
              <w:widowControl w:val="0"/>
              <w:kinsoku/>
              <w:autoSpaceDE/>
              <w:autoSpaceDN/>
              <w:jc w:val="center"/>
              <w:textAlignment w:val="center"/>
              <w:rPr>
                <w:rFonts w:ascii="Times New Roman" w:hAnsi="Times New Roman" w:cs="Times New Roman" w:eastAsiaTheme="minorEastAsia"/>
                <w:lang w:eastAsia="zh-CN"/>
              </w:rPr>
            </w:pPr>
          </w:p>
        </w:tc>
        <w:tc>
          <w:tcPr>
            <w:tcW w:w="885" w:type="dxa"/>
            <w:vMerge w:val="continue"/>
            <w:tcBorders>
              <w:top w:val="single" w:color="auto" w:sz="4" w:space="0"/>
              <w:left w:val="single" w:color="auto" w:sz="4" w:space="0"/>
              <w:bottom w:val="single" w:color="auto" w:sz="4" w:space="0"/>
              <w:right w:val="single" w:color="auto" w:sz="4" w:space="0"/>
            </w:tcBorders>
            <w:vAlign w:val="center"/>
          </w:tcPr>
          <w:p w14:paraId="1732BF5B">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auto" w:sz="4" w:space="0"/>
              <w:left w:val="single" w:color="auto" w:sz="4" w:space="0"/>
              <w:bottom w:val="single" w:color="auto" w:sz="4" w:space="0"/>
              <w:right w:val="single" w:color="auto" w:sz="4" w:space="0"/>
            </w:tcBorders>
            <w:vAlign w:val="center"/>
          </w:tcPr>
          <w:p w14:paraId="044C3F31">
            <w:pPr>
              <w:pStyle w:val="11"/>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2542" w:type="dxa"/>
            <w:vMerge w:val="continue"/>
            <w:tcBorders>
              <w:top w:val="single" w:color="auto" w:sz="4" w:space="0"/>
              <w:left w:val="single" w:color="auto" w:sz="4" w:space="0"/>
              <w:bottom w:val="single" w:color="auto" w:sz="4" w:space="0"/>
              <w:right w:val="single" w:color="auto" w:sz="4" w:space="0"/>
            </w:tcBorders>
            <w:vAlign w:val="center"/>
          </w:tcPr>
          <w:p w14:paraId="19308830">
            <w:pPr>
              <w:pStyle w:val="11"/>
              <w:widowControl w:val="0"/>
              <w:kinsoku/>
              <w:autoSpaceDE/>
              <w:autoSpaceDN/>
              <w:spacing w:line="250" w:lineRule="exact"/>
              <w:jc w:val="both"/>
              <w:rPr>
                <w:rFonts w:ascii="Times New Roman" w:hAnsi="Times New Roman" w:cs="Times New Roman" w:eastAsiaTheme="minorEastAsia"/>
                <w:color w:val="000000" w:themeColor="text1"/>
                <w:spacing w:val="-6"/>
                <w:lang w:eastAsia="zh-CN"/>
              </w:rPr>
            </w:pPr>
          </w:p>
        </w:tc>
        <w:tc>
          <w:tcPr>
            <w:tcW w:w="3788" w:type="dxa"/>
            <w:tcBorders>
              <w:top w:val="single" w:color="auto" w:sz="4" w:space="0"/>
              <w:left w:val="single" w:color="auto" w:sz="4" w:space="0"/>
              <w:bottom w:val="single" w:color="auto" w:sz="4" w:space="0"/>
              <w:right w:val="single" w:color="auto" w:sz="4" w:space="0"/>
            </w:tcBorders>
            <w:vAlign w:val="center"/>
          </w:tcPr>
          <w:p w14:paraId="75F099DF">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落实排污权、碳排放权等交易机制。严格落实企业环境信用评价制度，重点将污染物排放总量大、环境风险高、生态环境影响大的企业，纳入环境信用评价范围，环保诚信企业和良好企业在申请环保专项资金或者其他补助资金时，予以积极支持。</w:t>
            </w:r>
          </w:p>
        </w:tc>
        <w:tc>
          <w:tcPr>
            <w:tcW w:w="1066" w:type="dxa"/>
            <w:tcBorders>
              <w:top w:val="single" w:color="auto" w:sz="4" w:space="0"/>
              <w:left w:val="single" w:color="auto" w:sz="4" w:space="0"/>
              <w:bottom w:val="single" w:color="auto" w:sz="4" w:space="0"/>
              <w:right w:val="single" w:color="auto" w:sz="4" w:space="0"/>
            </w:tcBorders>
            <w:vAlign w:val="center"/>
          </w:tcPr>
          <w:p w14:paraId="26C742B5">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single" w:color="auto" w:sz="4" w:space="0"/>
              <w:left w:val="single" w:color="auto" w:sz="4" w:space="0"/>
              <w:bottom w:val="single" w:color="auto" w:sz="4" w:space="0"/>
              <w:right w:val="single" w:color="auto" w:sz="4" w:space="0"/>
            </w:tcBorders>
            <w:vAlign w:val="center"/>
          </w:tcPr>
          <w:p w14:paraId="3ECBC800">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p>
        </w:tc>
        <w:tc>
          <w:tcPr>
            <w:tcW w:w="1596" w:type="dxa"/>
            <w:tcBorders>
              <w:top w:val="single" w:color="auto" w:sz="4" w:space="0"/>
              <w:left w:val="single" w:color="auto" w:sz="4" w:space="0"/>
              <w:bottom w:val="single" w:color="auto" w:sz="4" w:space="0"/>
              <w:right w:val="single" w:color="auto" w:sz="4" w:space="0"/>
            </w:tcBorders>
            <w:vAlign w:val="center"/>
          </w:tcPr>
          <w:p w14:paraId="3B8DC149">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区工信商务局</w:t>
            </w:r>
          </w:p>
          <w:p w14:paraId="22229692">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资源规划分局</w:t>
            </w:r>
          </w:p>
        </w:tc>
        <w:tc>
          <w:tcPr>
            <w:tcW w:w="1359" w:type="dxa"/>
            <w:tcBorders>
              <w:top w:val="single" w:color="auto" w:sz="4" w:space="0"/>
              <w:left w:val="single" w:color="auto" w:sz="4" w:space="0"/>
              <w:bottom w:val="single" w:color="auto" w:sz="4" w:space="0"/>
              <w:right w:val="single" w:color="auto" w:sz="4" w:space="0"/>
            </w:tcBorders>
            <w:vAlign w:val="center"/>
          </w:tcPr>
          <w:p w14:paraId="373646E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490E1421">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0E7D9C80">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22913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top w:val="single" w:color="auto" w:sz="4" w:space="0"/>
              <w:bottom w:val="nil"/>
            </w:tcBorders>
            <w:vAlign w:val="center"/>
          </w:tcPr>
          <w:p w14:paraId="6510E15F">
            <w:pPr>
              <w:jc w:val="center"/>
              <w:textAlignment w:val="center"/>
              <w:rPr>
                <w:rFonts w:ascii="Times New Roman" w:hAnsi="Times New Roman" w:cs="Times New Roman" w:eastAsiaTheme="minorEastAsia"/>
                <w:color w:val="000000" w:themeColor="text1"/>
                <w:lang w:eastAsia="zh-CN"/>
              </w:rPr>
            </w:pPr>
            <w:r>
              <w:rPr>
                <w:rFonts w:ascii="Times New Roman" w:hAnsi="Times New Roman" w:eastAsia="宋体" w:cs="Times New Roman"/>
                <w:lang w:eastAsia="zh-CN"/>
              </w:rPr>
              <w:t>69</w:t>
            </w:r>
          </w:p>
        </w:tc>
        <w:tc>
          <w:tcPr>
            <w:tcW w:w="885" w:type="dxa"/>
            <w:vMerge w:val="restart"/>
            <w:tcBorders>
              <w:top w:val="single" w:color="auto" w:sz="4" w:space="0"/>
            </w:tcBorders>
            <w:vAlign w:val="center"/>
          </w:tcPr>
          <w:p w14:paraId="0B797EEE">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保障</w:t>
            </w:r>
          </w:p>
          <w:p w14:paraId="18353DE8">
            <w:pPr>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措施</w:t>
            </w:r>
          </w:p>
        </w:tc>
        <w:tc>
          <w:tcPr>
            <w:tcW w:w="1432" w:type="dxa"/>
            <w:vMerge w:val="restart"/>
            <w:tcBorders>
              <w:top w:val="single" w:color="auto" w:sz="4" w:space="0"/>
              <w:bottom w:val="nil"/>
            </w:tcBorders>
            <w:vAlign w:val="center"/>
          </w:tcPr>
          <w:p w14:paraId="5E038011">
            <w:pPr>
              <w:pStyle w:val="11"/>
              <w:widowControl w:val="0"/>
              <w:kinsoku/>
              <w:autoSpaceDE/>
              <w:autoSpaceDN/>
              <w:spacing w:line="25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强化达标管理</w:t>
            </w:r>
          </w:p>
        </w:tc>
        <w:tc>
          <w:tcPr>
            <w:tcW w:w="2542" w:type="dxa"/>
            <w:vMerge w:val="restart"/>
            <w:tcBorders>
              <w:top w:val="single" w:color="auto" w:sz="4" w:space="0"/>
              <w:bottom w:val="nil"/>
            </w:tcBorders>
            <w:vAlign w:val="center"/>
          </w:tcPr>
          <w:p w14:paraId="4CE2CA8C">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配合制定全区年度空气质量改善进位计划，明确我区年度考核指标，建立我区日控月考体系，细化达标措施，实施动态管理。</w:t>
            </w:r>
          </w:p>
        </w:tc>
        <w:tc>
          <w:tcPr>
            <w:tcW w:w="3788" w:type="dxa"/>
            <w:tcBorders>
              <w:top w:val="single" w:color="auto" w:sz="4" w:space="0"/>
            </w:tcBorders>
            <w:vAlign w:val="center"/>
          </w:tcPr>
          <w:p w14:paraId="7B057251">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制定全区年度空气质量改善进位计划并报区委、区政府，定期向区人大常委会报告进展情况。</w:t>
            </w:r>
          </w:p>
        </w:tc>
        <w:tc>
          <w:tcPr>
            <w:tcW w:w="1066" w:type="dxa"/>
            <w:tcBorders>
              <w:top w:val="single" w:color="auto" w:sz="4" w:space="0"/>
            </w:tcBorders>
            <w:vAlign w:val="center"/>
          </w:tcPr>
          <w:p w14:paraId="3D755CA3">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top w:val="single" w:color="auto" w:sz="4" w:space="0"/>
              <w:bottom w:val="nil"/>
            </w:tcBorders>
            <w:vAlign w:val="center"/>
          </w:tcPr>
          <w:p w14:paraId="488F073B">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top w:val="single" w:color="auto" w:sz="4" w:space="0"/>
              <w:bottom w:val="nil"/>
            </w:tcBorders>
            <w:vAlign w:val="center"/>
          </w:tcPr>
          <w:p w14:paraId="443AA290">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359" w:type="dxa"/>
            <w:vMerge w:val="restart"/>
            <w:tcBorders>
              <w:top w:val="single" w:color="auto" w:sz="4" w:space="0"/>
              <w:bottom w:val="nil"/>
            </w:tcBorders>
            <w:vAlign w:val="center"/>
          </w:tcPr>
          <w:p w14:paraId="5C0869E7">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1CFD9756">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040C7C5C">
            <w:pPr>
              <w:pStyle w:val="11"/>
              <w:widowControl w:val="0"/>
              <w:kinsoku/>
              <w:autoSpaceDE/>
              <w:autoSpaceDN/>
              <w:spacing w:line="25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6FA9C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tcBorders>
            <w:vAlign w:val="center"/>
          </w:tcPr>
          <w:p w14:paraId="387E47DD">
            <w:pPr>
              <w:widowControl w:val="0"/>
              <w:kinsoku/>
              <w:autoSpaceDE/>
              <w:autoSpaceDN/>
              <w:spacing w:line="270" w:lineRule="exact"/>
              <w:jc w:val="center"/>
              <w:textAlignment w:val="center"/>
              <w:rPr>
                <w:rFonts w:ascii="Times New Roman" w:hAnsi="Times New Roman" w:cs="Times New Roman" w:eastAsiaTheme="minorEastAsia"/>
                <w:color w:val="000000" w:themeColor="text1"/>
                <w:lang w:eastAsia="zh-CN"/>
              </w:rPr>
            </w:pPr>
          </w:p>
        </w:tc>
        <w:tc>
          <w:tcPr>
            <w:tcW w:w="885" w:type="dxa"/>
            <w:vMerge w:val="continue"/>
            <w:tcBorders>
              <w:top w:val="single" w:color="auto" w:sz="4" w:space="0"/>
              <w:bottom w:val="single" w:color="auto" w:sz="4" w:space="0"/>
            </w:tcBorders>
            <w:vAlign w:val="center"/>
          </w:tcPr>
          <w:p w14:paraId="062C07D7">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6E77C223">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3D6B27C3">
            <w:pPr>
              <w:widowControl w:val="0"/>
              <w:kinsoku/>
              <w:autoSpaceDE/>
              <w:autoSpaceDN/>
              <w:spacing w:line="250" w:lineRule="exact"/>
              <w:jc w:val="both"/>
              <w:rPr>
                <w:rFonts w:ascii="Times New Roman" w:hAnsi="Times New Roman" w:cs="Times New Roman" w:eastAsiaTheme="minorEastAsia"/>
                <w:color w:val="000000" w:themeColor="text1"/>
                <w:spacing w:val="-6"/>
              </w:rPr>
            </w:pPr>
          </w:p>
        </w:tc>
        <w:tc>
          <w:tcPr>
            <w:tcW w:w="3788" w:type="dxa"/>
            <w:vAlign w:val="center"/>
          </w:tcPr>
          <w:p w14:paraId="02BF93DF">
            <w:pPr>
              <w:pStyle w:val="11"/>
              <w:widowControl w:val="0"/>
              <w:kinsoku/>
              <w:autoSpaceDE/>
              <w:autoSpaceDN/>
              <w:spacing w:line="26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明确我区年度考核指标，建立日控月考体系，及时通报情况，推动工作。</w:t>
            </w:r>
          </w:p>
        </w:tc>
        <w:tc>
          <w:tcPr>
            <w:tcW w:w="1066" w:type="dxa"/>
            <w:vAlign w:val="center"/>
          </w:tcPr>
          <w:p w14:paraId="1FD84C2C">
            <w:pPr>
              <w:pStyle w:val="11"/>
              <w:widowControl w:val="0"/>
              <w:kinsoku/>
              <w:autoSpaceDE/>
              <w:autoSpaceDN/>
              <w:spacing w:line="25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continue"/>
            <w:tcBorders>
              <w:top w:val="nil"/>
            </w:tcBorders>
            <w:vAlign w:val="center"/>
          </w:tcPr>
          <w:p w14:paraId="769BCBAC">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596" w:type="dxa"/>
            <w:vMerge w:val="continue"/>
            <w:tcBorders>
              <w:top w:val="nil"/>
            </w:tcBorders>
            <w:vAlign w:val="center"/>
          </w:tcPr>
          <w:p w14:paraId="52E95786">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359" w:type="dxa"/>
            <w:vMerge w:val="continue"/>
            <w:tcBorders>
              <w:top w:val="nil"/>
            </w:tcBorders>
            <w:vAlign w:val="center"/>
          </w:tcPr>
          <w:p w14:paraId="5C66160F">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r>
      <w:tr w14:paraId="5786D7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restart"/>
            <w:tcBorders>
              <w:bottom w:val="nil"/>
            </w:tcBorders>
            <w:vAlign w:val="center"/>
          </w:tcPr>
          <w:p w14:paraId="5D9748FB">
            <w:pPr>
              <w:jc w:val="center"/>
              <w:textAlignment w:val="center"/>
              <w:rPr>
                <w:rFonts w:ascii="Times New Roman" w:hAnsi="Times New Roman" w:eastAsia="宋体" w:cs="Times New Roman"/>
                <w:lang w:eastAsia="zh-CN"/>
              </w:rPr>
            </w:pPr>
            <w:r>
              <w:rPr>
                <w:rFonts w:ascii="Times New Roman" w:hAnsi="Times New Roman" w:eastAsia="宋体" w:cs="Times New Roman"/>
                <w:lang w:eastAsia="zh-CN"/>
              </w:rPr>
              <w:t>70</w:t>
            </w:r>
          </w:p>
        </w:tc>
        <w:tc>
          <w:tcPr>
            <w:tcW w:w="885" w:type="dxa"/>
            <w:vMerge w:val="continue"/>
            <w:tcBorders>
              <w:top w:val="single" w:color="auto" w:sz="4" w:space="0"/>
              <w:bottom w:val="single" w:color="auto" w:sz="4" w:space="0"/>
            </w:tcBorders>
            <w:vAlign w:val="center"/>
          </w:tcPr>
          <w:p w14:paraId="42E4680D">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restart"/>
            <w:tcBorders>
              <w:bottom w:val="nil"/>
            </w:tcBorders>
            <w:vAlign w:val="center"/>
          </w:tcPr>
          <w:p w14:paraId="0652EE66">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强化执法监管</w:t>
            </w:r>
          </w:p>
        </w:tc>
        <w:tc>
          <w:tcPr>
            <w:tcW w:w="2542" w:type="dxa"/>
            <w:vMerge w:val="restart"/>
            <w:tcBorders>
              <w:bottom w:val="nil"/>
            </w:tcBorders>
            <w:vAlign w:val="center"/>
          </w:tcPr>
          <w:p w14:paraId="128E9631">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持续加大执法监管力度，用好“一单三罚”工作制度。狠抓督察反馈问题整改落实，突出涉气污染源排查整治，强化重点领域多部门联合执法，严厉打击监测数据造假等违法犯罪行为，对弄虚作假的排污单位、第三方机构及其责任人，分别依法追究责任。对生态环境造成损害的单位和个人依法追究生态环境损害赔偿责任。</w:t>
            </w:r>
          </w:p>
        </w:tc>
        <w:tc>
          <w:tcPr>
            <w:tcW w:w="3788" w:type="dxa"/>
            <w:vAlign w:val="center"/>
          </w:tcPr>
          <w:p w14:paraId="738DDBD0">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抓好中央生态环境保护督察和省生态环境保护督察反馈问题整改落实。</w:t>
            </w:r>
          </w:p>
        </w:tc>
        <w:tc>
          <w:tcPr>
            <w:tcW w:w="1066" w:type="dxa"/>
            <w:vMerge w:val="restart"/>
            <w:tcBorders>
              <w:bottom w:val="nil"/>
            </w:tcBorders>
            <w:vAlign w:val="center"/>
          </w:tcPr>
          <w:p w14:paraId="3AB0BBD5">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Merge w:val="restart"/>
            <w:tcBorders>
              <w:bottom w:val="nil"/>
            </w:tcBorders>
            <w:vAlign w:val="center"/>
          </w:tcPr>
          <w:p w14:paraId="0FC97967">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Merge w:val="restart"/>
            <w:tcBorders>
              <w:bottom w:val="nil"/>
            </w:tcBorders>
            <w:vAlign w:val="center"/>
          </w:tcPr>
          <w:p w14:paraId="083B828B">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tc>
        <w:tc>
          <w:tcPr>
            <w:tcW w:w="1359" w:type="dxa"/>
            <w:vMerge w:val="restart"/>
            <w:tcBorders>
              <w:bottom w:val="nil"/>
            </w:tcBorders>
            <w:vAlign w:val="center"/>
          </w:tcPr>
          <w:p w14:paraId="2362A8C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20BF13E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49CAE470">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08DAED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Pr>
        <w:tc>
          <w:tcPr>
            <w:tcW w:w="390" w:type="dxa"/>
            <w:vMerge w:val="continue"/>
            <w:tcBorders>
              <w:top w:val="nil"/>
              <w:bottom w:val="nil"/>
            </w:tcBorders>
            <w:vAlign w:val="center"/>
          </w:tcPr>
          <w:p w14:paraId="53D0ADDD">
            <w:pPr>
              <w:widowControl w:val="0"/>
              <w:kinsoku/>
              <w:autoSpaceDE/>
              <w:autoSpaceDN/>
              <w:jc w:val="center"/>
              <w:textAlignment w:val="center"/>
              <w:rPr>
                <w:rFonts w:ascii="Times New Roman" w:hAnsi="Times New Roman" w:eastAsia="宋体" w:cs="Times New Roman"/>
                <w:lang w:eastAsia="zh-CN"/>
              </w:rPr>
            </w:pPr>
          </w:p>
        </w:tc>
        <w:tc>
          <w:tcPr>
            <w:tcW w:w="885" w:type="dxa"/>
            <w:vMerge w:val="continue"/>
            <w:tcBorders>
              <w:top w:val="single" w:color="auto" w:sz="4" w:space="0"/>
              <w:bottom w:val="single" w:color="auto" w:sz="4" w:space="0"/>
            </w:tcBorders>
            <w:vAlign w:val="center"/>
          </w:tcPr>
          <w:p w14:paraId="3289A983">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nil"/>
              <w:bottom w:val="nil"/>
            </w:tcBorders>
            <w:vAlign w:val="center"/>
          </w:tcPr>
          <w:p w14:paraId="4F91AB71">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nil"/>
              <w:bottom w:val="nil"/>
            </w:tcBorders>
            <w:vAlign w:val="center"/>
          </w:tcPr>
          <w:p w14:paraId="422DEAC0">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3788" w:type="dxa"/>
            <w:vAlign w:val="center"/>
          </w:tcPr>
          <w:p w14:paraId="0A73AFEC">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聚焦重点区域、重要站点，全面排查涉气污染源，加快完成整治提升。</w:t>
            </w:r>
          </w:p>
        </w:tc>
        <w:tc>
          <w:tcPr>
            <w:tcW w:w="1066" w:type="dxa"/>
            <w:vMerge w:val="continue"/>
            <w:tcBorders>
              <w:top w:val="nil"/>
              <w:bottom w:val="nil"/>
            </w:tcBorders>
            <w:vAlign w:val="center"/>
          </w:tcPr>
          <w:p w14:paraId="11E18631">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c>
          <w:tcPr>
            <w:tcW w:w="1484" w:type="dxa"/>
            <w:vMerge w:val="continue"/>
            <w:tcBorders>
              <w:top w:val="nil"/>
              <w:bottom w:val="nil"/>
            </w:tcBorders>
            <w:vAlign w:val="center"/>
          </w:tcPr>
          <w:p w14:paraId="52747BA6">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c>
          <w:tcPr>
            <w:tcW w:w="1596" w:type="dxa"/>
            <w:vMerge w:val="continue"/>
            <w:tcBorders>
              <w:top w:val="nil"/>
              <w:bottom w:val="nil"/>
            </w:tcBorders>
            <w:vAlign w:val="center"/>
          </w:tcPr>
          <w:p w14:paraId="35AF3D56">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c>
          <w:tcPr>
            <w:tcW w:w="1359" w:type="dxa"/>
            <w:vMerge w:val="continue"/>
            <w:tcBorders>
              <w:top w:val="nil"/>
              <w:bottom w:val="nil"/>
            </w:tcBorders>
            <w:vAlign w:val="center"/>
          </w:tcPr>
          <w:p w14:paraId="113C2C78">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r>
      <w:tr w14:paraId="500D6A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2105" w:hRule="atLeast"/>
        </w:trPr>
        <w:tc>
          <w:tcPr>
            <w:tcW w:w="390" w:type="dxa"/>
            <w:vMerge w:val="continue"/>
            <w:tcBorders>
              <w:top w:val="nil"/>
              <w:bottom w:val="single" w:color="auto" w:sz="4" w:space="0"/>
            </w:tcBorders>
            <w:vAlign w:val="center"/>
          </w:tcPr>
          <w:p w14:paraId="6510D697">
            <w:pPr>
              <w:widowControl w:val="0"/>
              <w:kinsoku/>
              <w:autoSpaceDE/>
              <w:autoSpaceDN/>
              <w:jc w:val="center"/>
              <w:textAlignment w:val="center"/>
              <w:rPr>
                <w:rFonts w:ascii="Times New Roman" w:hAnsi="Times New Roman" w:eastAsia="宋体" w:cs="Times New Roman"/>
                <w:lang w:eastAsia="zh-CN"/>
              </w:rPr>
            </w:pPr>
          </w:p>
        </w:tc>
        <w:tc>
          <w:tcPr>
            <w:tcW w:w="885" w:type="dxa"/>
            <w:vMerge w:val="continue"/>
            <w:tcBorders>
              <w:top w:val="single" w:color="auto" w:sz="4" w:space="0"/>
              <w:bottom w:val="single" w:color="auto" w:sz="4" w:space="0"/>
            </w:tcBorders>
            <w:vAlign w:val="center"/>
          </w:tcPr>
          <w:p w14:paraId="7CEFCDA0">
            <w:pPr>
              <w:widowControl w:val="0"/>
              <w:kinsoku/>
              <w:autoSpaceDE/>
              <w:autoSpaceDN/>
              <w:spacing w:line="270" w:lineRule="exact"/>
              <w:jc w:val="center"/>
              <w:rPr>
                <w:rFonts w:ascii="Times New Roman" w:hAnsi="Times New Roman" w:cs="Times New Roman" w:eastAsiaTheme="minorEastAsia"/>
                <w:color w:val="000000" w:themeColor="text1"/>
                <w:spacing w:val="-6"/>
                <w:lang w:eastAsia="zh-CN"/>
              </w:rPr>
            </w:pPr>
          </w:p>
        </w:tc>
        <w:tc>
          <w:tcPr>
            <w:tcW w:w="1432" w:type="dxa"/>
            <w:vMerge w:val="continue"/>
            <w:tcBorders>
              <w:top w:val="nil"/>
              <w:bottom w:val="single" w:color="auto" w:sz="4" w:space="0"/>
            </w:tcBorders>
            <w:vAlign w:val="center"/>
          </w:tcPr>
          <w:p w14:paraId="7C2985CF">
            <w:pPr>
              <w:widowControl w:val="0"/>
              <w:kinsoku/>
              <w:autoSpaceDE/>
              <w:autoSpaceDN/>
              <w:spacing w:line="270" w:lineRule="exact"/>
              <w:jc w:val="both"/>
              <w:rPr>
                <w:rFonts w:ascii="Times New Roman" w:hAnsi="Times New Roman" w:cs="Times New Roman" w:eastAsiaTheme="minorEastAsia"/>
                <w:color w:val="000000" w:themeColor="text1"/>
                <w:spacing w:val="-6"/>
                <w:lang w:eastAsia="zh-CN"/>
              </w:rPr>
            </w:pPr>
          </w:p>
        </w:tc>
        <w:tc>
          <w:tcPr>
            <w:tcW w:w="2542" w:type="dxa"/>
            <w:vMerge w:val="continue"/>
            <w:tcBorders>
              <w:top w:val="nil"/>
              <w:bottom w:val="single" w:color="auto" w:sz="4" w:space="0"/>
            </w:tcBorders>
            <w:vAlign w:val="center"/>
          </w:tcPr>
          <w:p w14:paraId="7E1E7DBF">
            <w:pPr>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p>
        </w:tc>
        <w:tc>
          <w:tcPr>
            <w:tcW w:w="3788" w:type="dxa"/>
            <w:tcBorders>
              <w:bottom w:val="single" w:color="auto" w:sz="4" w:space="0"/>
            </w:tcBorders>
            <w:vAlign w:val="center"/>
          </w:tcPr>
          <w:p w14:paraId="6C5DBD69">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用好“一单三罚”工作制度，完善“行刑衔接”机制。重点领域实施多部门联合执法，重点查处无证排污或不按证排污、旁路偷排、未安装或不正常运行治污设施、超标排放、弄虚作假等行为。</w:t>
            </w:r>
          </w:p>
        </w:tc>
        <w:tc>
          <w:tcPr>
            <w:tcW w:w="1066" w:type="dxa"/>
            <w:vMerge w:val="continue"/>
            <w:tcBorders>
              <w:top w:val="nil"/>
              <w:bottom w:val="single" w:color="auto" w:sz="4" w:space="0"/>
            </w:tcBorders>
            <w:vAlign w:val="center"/>
          </w:tcPr>
          <w:p w14:paraId="071A2E5C">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c>
          <w:tcPr>
            <w:tcW w:w="1484" w:type="dxa"/>
            <w:vMerge w:val="continue"/>
            <w:tcBorders>
              <w:top w:val="nil"/>
              <w:bottom w:val="single" w:color="auto" w:sz="4" w:space="0"/>
            </w:tcBorders>
            <w:vAlign w:val="center"/>
          </w:tcPr>
          <w:p w14:paraId="582889C9">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c>
          <w:tcPr>
            <w:tcW w:w="1596" w:type="dxa"/>
            <w:vMerge w:val="continue"/>
            <w:tcBorders>
              <w:top w:val="nil"/>
              <w:bottom w:val="single" w:color="auto" w:sz="4" w:space="0"/>
            </w:tcBorders>
            <w:vAlign w:val="center"/>
          </w:tcPr>
          <w:p w14:paraId="66CC1B40">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c>
          <w:tcPr>
            <w:tcW w:w="1359" w:type="dxa"/>
            <w:vMerge w:val="continue"/>
            <w:tcBorders>
              <w:top w:val="nil"/>
              <w:bottom w:val="single" w:color="auto" w:sz="4" w:space="0"/>
            </w:tcBorders>
            <w:vAlign w:val="center"/>
          </w:tcPr>
          <w:p w14:paraId="06597E0E">
            <w:pPr>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r>
      <w:tr w14:paraId="3F0333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749" w:hRule="atLeast"/>
        </w:trPr>
        <w:tc>
          <w:tcPr>
            <w:tcW w:w="390" w:type="dxa"/>
            <w:vMerge w:val="restart"/>
            <w:tcBorders>
              <w:top w:val="single" w:color="auto" w:sz="4" w:space="0"/>
              <w:left w:val="single" w:color="auto" w:sz="4" w:space="0"/>
              <w:bottom w:val="single" w:color="auto" w:sz="4" w:space="0"/>
              <w:right w:val="single" w:color="auto" w:sz="4" w:space="0"/>
            </w:tcBorders>
            <w:vAlign w:val="center"/>
          </w:tcPr>
          <w:p w14:paraId="5AEB48B0">
            <w:pPr>
              <w:jc w:val="center"/>
              <w:textAlignment w:val="center"/>
              <w:rPr>
                <w:rFonts w:ascii="Times New Roman" w:hAnsi="Times New Roman" w:eastAsia="宋体" w:cs="Times New Roman"/>
                <w:lang w:eastAsia="zh-CN"/>
              </w:rPr>
            </w:pPr>
            <w:r>
              <w:rPr>
                <w:rFonts w:ascii="Times New Roman" w:hAnsi="Times New Roman" w:eastAsia="宋体" w:cs="Times New Roman"/>
                <w:lang w:eastAsia="zh-CN"/>
              </w:rPr>
              <w:t>71</w:t>
            </w:r>
          </w:p>
        </w:tc>
        <w:tc>
          <w:tcPr>
            <w:tcW w:w="885" w:type="dxa"/>
            <w:vMerge w:val="restart"/>
            <w:tcBorders>
              <w:top w:val="single" w:color="auto" w:sz="4" w:space="0"/>
              <w:left w:val="single" w:color="auto" w:sz="4" w:space="0"/>
              <w:bottom w:val="single" w:color="auto" w:sz="4" w:space="0"/>
              <w:right w:val="single" w:color="auto" w:sz="4" w:space="0"/>
            </w:tcBorders>
            <w:vAlign w:val="center"/>
          </w:tcPr>
          <w:p w14:paraId="659B13AF">
            <w:pPr>
              <w:pStyle w:val="11"/>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保障</w:t>
            </w:r>
          </w:p>
          <w:p w14:paraId="5B924D2D">
            <w:pPr>
              <w:widowControl w:val="0"/>
              <w:kinsoku/>
              <w:autoSpaceDE/>
              <w:autoSpaceDN/>
              <w:spacing w:line="27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措施</w:t>
            </w:r>
          </w:p>
        </w:tc>
        <w:tc>
          <w:tcPr>
            <w:tcW w:w="1432" w:type="dxa"/>
            <w:vMerge w:val="restart"/>
            <w:tcBorders>
              <w:top w:val="single" w:color="auto" w:sz="4" w:space="0"/>
              <w:left w:val="single" w:color="auto" w:sz="4" w:space="0"/>
              <w:bottom w:val="single" w:color="auto" w:sz="4" w:space="0"/>
              <w:right w:val="single" w:color="auto" w:sz="4" w:space="0"/>
            </w:tcBorders>
            <w:vAlign w:val="center"/>
          </w:tcPr>
          <w:p w14:paraId="4BB1F806">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强化宣传监督</w:t>
            </w:r>
          </w:p>
        </w:tc>
        <w:tc>
          <w:tcPr>
            <w:tcW w:w="2542" w:type="dxa"/>
            <w:vMerge w:val="restart"/>
            <w:tcBorders>
              <w:top w:val="single" w:color="auto" w:sz="4" w:space="0"/>
              <w:left w:val="single" w:color="auto" w:sz="4" w:space="0"/>
              <w:bottom w:val="single" w:color="auto" w:sz="4" w:space="0"/>
              <w:right w:val="single" w:color="auto" w:sz="4" w:space="0"/>
            </w:tcBorders>
            <w:vAlign w:val="center"/>
          </w:tcPr>
          <w:p w14:paraId="011AEDE7">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充分发挥主流媒体作用，加大大气污染治理力度，创新宣传方式，做好正面引导。加强对群众反映强烈问题的监管，加大对通报问题整改落实情况的监督抽查力度，及时发布相关信息，正确引导公众。</w:t>
            </w:r>
          </w:p>
        </w:tc>
        <w:tc>
          <w:tcPr>
            <w:tcW w:w="3788" w:type="dxa"/>
            <w:tcBorders>
              <w:top w:val="single" w:color="auto" w:sz="4" w:space="0"/>
              <w:left w:val="single" w:color="auto" w:sz="4" w:space="0"/>
              <w:bottom w:val="single" w:color="auto" w:sz="4" w:space="0"/>
              <w:right w:val="single" w:color="auto" w:sz="4" w:space="0"/>
            </w:tcBorders>
            <w:vAlign w:val="center"/>
          </w:tcPr>
          <w:p w14:paraId="575058CC">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定期在西安日报、西安广播电视台等主流媒体宣传大气污染治理专项行动各项工作开展情况，加强正面引导。密切关注相关舆情，及时回应群众关切，做好舆情引导工作。</w:t>
            </w:r>
          </w:p>
        </w:tc>
        <w:tc>
          <w:tcPr>
            <w:tcW w:w="1066" w:type="dxa"/>
            <w:tcBorders>
              <w:top w:val="single" w:color="auto" w:sz="4" w:space="0"/>
              <w:left w:val="single" w:color="auto" w:sz="4" w:space="0"/>
              <w:bottom w:val="single" w:color="auto" w:sz="4" w:space="0"/>
              <w:right w:val="single" w:color="auto" w:sz="4" w:space="0"/>
            </w:tcBorders>
            <w:vAlign w:val="center"/>
          </w:tcPr>
          <w:p w14:paraId="748FA251">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rPr>
              <w:t>全年</w:t>
            </w:r>
          </w:p>
        </w:tc>
        <w:tc>
          <w:tcPr>
            <w:tcW w:w="1484" w:type="dxa"/>
            <w:vMerge w:val="restart"/>
            <w:tcBorders>
              <w:top w:val="single" w:color="auto" w:sz="4" w:space="0"/>
              <w:left w:val="single" w:color="auto" w:sz="4" w:space="0"/>
              <w:bottom w:val="single" w:color="auto" w:sz="4" w:space="0"/>
              <w:right w:val="single" w:color="auto" w:sz="4" w:space="0"/>
            </w:tcBorders>
            <w:vAlign w:val="center"/>
          </w:tcPr>
          <w:p w14:paraId="4729E65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区委宣传部</w:t>
            </w:r>
          </w:p>
        </w:tc>
        <w:tc>
          <w:tcPr>
            <w:tcW w:w="1596" w:type="dxa"/>
            <w:vMerge w:val="restart"/>
            <w:tcBorders>
              <w:top w:val="single" w:color="auto" w:sz="4" w:space="0"/>
              <w:left w:val="single" w:color="auto" w:sz="4" w:space="0"/>
              <w:bottom w:val="single" w:color="auto" w:sz="4" w:space="0"/>
              <w:right w:val="single" w:color="auto" w:sz="4" w:space="0"/>
            </w:tcBorders>
            <w:vAlign w:val="center"/>
          </w:tcPr>
          <w:p w14:paraId="77195D9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区委网信办</w:t>
            </w:r>
          </w:p>
          <w:p w14:paraId="5D5DD90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359" w:type="dxa"/>
            <w:vMerge w:val="restart"/>
            <w:tcBorders>
              <w:top w:val="single" w:color="auto" w:sz="4" w:space="0"/>
              <w:left w:val="single" w:color="auto" w:sz="4" w:space="0"/>
              <w:bottom w:val="single" w:color="auto" w:sz="4" w:space="0"/>
              <w:right w:val="single" w:color="auto" w:sz="4" w:space="0"/>
            </w:tcBorders>
            <w:vAlign w:val="center"/>
          </w:tcPr>
          <w:p w14:paraId="2D10CF1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25E9939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7D19E85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0F9C8C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242" w:hRule="atLeast"/>
        </w:trPr>
        <w:tc>
          <w:tcPr>
            <w:tcW w:w="390" w:type="dxa"/>
            <w:vMerge w:val="continue"/>
            <w:tcBorders>
              <w:top w:val="single" w:color="auto" w:sz="4" w:space="0"/>
              <w:bottom w:val="single" w:color="auto" w:sz="4" w:space="0"/>
            </w:tcBorders>
            <w:vAlign w:val="center"/>
          </w:tcPr>
          <w:p w14:paraId="4C44311E">
            <w:pPr>
              <w:jc w:val="center"/>
              <w:textAlignment w:val="center"/>
              <w:rPr>
                <w:rFonts w:ascii="Times New Roman" w:hAnsi="Times New Roman" w:eastAsia="宋体" w:cs="Times New Roman"/>
                <w:lang w:eastAsia="zh-CN"/>
              </w:rPr>
            </w:pPr>
          </w:p>
        </w:tc>
        <w:tc>
          <w:tcPr>
            <w:tcW w:w="885" w:type="dxa"/>
            <w:vMerge w:val="continue"/>
            <w:tcBorders>
              <w:top w:val="single" w:color="auto" w:sz="4" w:space="0"/>
              <w:bottom w:val="single" w:color="auto" w:sz="4" w:space="0"/>
            </w:tcBorders>
            <w:vAlign w:val="center"/>
          </w:tcPr>
          <w:p w14:paraId="47FFFEA6">
            <w:pPr>
              <w:widowControl w:val="0"/>
              <w:kinsoku/>
              <w:autoSpaceDE/>
              <w:autoSpaceDN/>
              <w:spacing w:line="270" w:lineRule="exact"/>
              <w:jc w:val="center"/>
              <w:rPr>
                <w:rFonts w:ascii="Times New Roman" w:hAnsi="Times New Roman" w:cs="Times New Roman" w:eastAsiaTheme="minorEastAsia"/>
                <w:color w:val="000000" w:themeColor="text1"/>
                <w:spacing w:val="-6"/>
              </w:rPr>
            </w:pPr>
          </w:p>
        </w:tc>
        <w:tc>
          <w:tcPr>
            <w:tcW w:w="1432" w:type="dxa"/>
            <w:vMerge w:val="continue"/>
            <w:tcBorders>
              <w:top w:val="single" w:color="auto" w:sz="4" w:space="0"/>
              <w:bottom w:val="single" w:color="auto" w:sz="4" w:space="0"/>
            </w:tcBorders>
            <w:vAlign w:val="center"/>
          </w:tcPr>
          <w:p w14:paraId="32F41F28">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single" w:color="auto" w:sz="4" w:space="0"/>
              <w:bottom w:val="single" w:color="auto" w:sz="4" w:space="0"/>
            </w:tcBorders>
            <w:vAlign w:val="center"/>
          </w:tcPr>
          <w:p w14:paraId="767111DF">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3788" w:type="dxa"/>
            <w:tcBorders>
              <w:top w:val="single" w:color="auto" w:sz="4" w:space="0"/>
              <w:bottom w:val="single" w:color="auto" w:sz="4" w:space="0"/>
            </w:tcBorders>
            <w:vAlign w:val="center"/>
          </w:tcPr>
          <w:p w14:paraId="7D6D962D">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回顾年度工作亮点、先进人物和事迹，通过公众号等平台开展系列宣传活动。对突出问题通过西安广播电视台跟踪报道，推动整改落实。</w:t>
            </w:r>
          </w:p>
        </w:tc>
        <w:tc>
          <w:tcPr>
            <w:tcW w:w="1066" w:type="dxa"/>
            <w:tcBorders>
              <w:top w:val="single" w:color="auto" w:sz="4" w:space="0"/>
              <w:bottom w:val="single" w:color="auto" w:sz="4" w:space="0"/>
            </w:tcBorders>
            <w:vAlign w:val="center"/>
          </w:tcPr>
          <w:p w14:paraId="27C15FA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rPr>
              <w:t>全年</w:t>
            </w:r>
          </w:p>
        </w:tc>
        <w:tc>
          <w:tcPr>
            <w:tcW w:w="1484" w:type="dxa"/>
            <w:vMerge w:val="continue"/>
            <w:tcBorders>
              <w:top w:val="single" w:color="auto" w:sz="4" w:space="0"/>
              <w:bottom w:val="single" w:color="auto" w:sz="4" w:space="0"/>
            </w:tcBorders>
            <w:vAlign w:val="center"/>
          </w:tcPr>
          <w:p w14:paraId="164C866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c>
          <w:tcPr>
            <w:tcW w:w="1596" w:type="dxa"/>
            <w:vMerge w:val="continue"/>
            <w:tcBorders>
              <w:top w:val="single" w:color="auto" w:sz="4" w:space="0"/>
              <w:bottom w:val="single" w:color="auto" w:sz="4" w:space="0"/>
            </w:tcBorders>
            <w:vAlign w:val="center"/>
          </w:tcPr>
          <w:p w14:paraId="5E0468DD">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c>
          <w:tcPr>
            <w:tcW w:w="1359" w:type="dxa"/>
            <w:vMerge w:val="continue"/>
            <w:tcBorders>
              <w:top w:val="single" w:color="auto" w:sz="4" w:space="0"/>
              <w:bottom w:val="single" w:color="auto" w:sz="4" w:space="0"/>
            </w:tcBorders>
            <w:vAlign w:val="center"/>
          </w:tcPr>
          <w:p w14:paraId="617BFB17">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p>
        </w:tc>
      </w:tr>
      <w:tr w14:paraId="5C69C2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278" w:hRule="atLeast"/>
        </w:trPr>
        <w:tc>
          <w:tcPr>
            <w:tcW w:w="390" w:type="dxa"/>
            <w:vMerge w:val="restart"/>
            <w:tcBorders>
              <w:bottom w:val="nil"/>
            </w:tcBorders>
            <w:vAlign w:val="center"/>
          </w:tcPr>
          <w:p w14:paraId="4800FEF3">
            <w:pPr>
              <w:jc w:val="center"/>
              <w:textAlignment w:val="center"/>
              <w:rPr>
                <w:rFonts w:ascii="Times New Roman" w:hAnsi="Times New Roman" w:eastAsia="宋体" w:cs="Times New Roman"/>
                <w:lang w:eastAsia="zh-CN"/>
              </w:rPr>
            </w:pPr>
            <w:r>
              <w:rPr>
                <w:rFonts w:ascii="Times New Roman" w:hAnsi="Times New Roman" w:eastAsia="宋体" w:cs="Times New Roman"/>
                <w:lang w:eastAsia="zh-CN"/>
              </w:rPr>
              <w:t>72</w:t>
            </w:r>
          </w:p>
        </w:tc>
        <w:tc>
          <w:tcPr>
            <w:tcW w:w="885" w:type="dxa"/>
            <w:vMerge w:val="restart"/>
            <w:tcBorders>
              <w:top w:val="single" w:color="auto" w:sz="4" w:space="0"/>
              <w:bottom w:val="single" w:color="auto" w:sz="4" w:space="0"/>
            </w:tcBorders>
            <w:vAlign w:val="center"/>
          </w:tcPr>
          <w:p w14:paraId="405D06A1">
            <w:pPr>
              <w:widowControl w:val="0"/>
              <w:spacing w:line="270" w:lineRule="exact"/>
              <w:jc w:val="center"/>
              <w:rPr>
                <w:rFonts w:ascii="Times New Roman" w:hAnsi="Times New Roman" w:cs="Times New Roman" w:eastAsiaTheme="minorEastAsia"/>
                <w:color w:val="000000" w:themeColor="text1"/>
                <w:spacing w:val="-6"/>
              </w:rPr>
            </w:pPr>
          </w:p>
        </w:tc>
        <w:tc>
          <w:tcPr>
            <w:tcW w:w="1432" w:type="dxa"/>
            <w:vMerge w:val="restart"/>
            <w:tcBorders>
              <w:bottom w:val="nil"/>
            </w:tcBorders>
            <w:vAlign w:val="center"/>
          </w:tcPr>
          <w:p w14:paraId="05282D45">
            <w:pPr>
              <w:pStyle w:val="11"/>
              <w:widowControl w:val="0"/>
              <w:kinsoku/>
              <w:autoSpaceDE/>
              <w:autoSpaceDN/>
              <w:spacing w:line="270" w:lineRule="exact"/>
              <w:jc w:val="both"/>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加强组织实施</w:t>
            </w:r>
          </w:p>
        </w:tc>
        <w:tc>
          <w:tcPr>
            <w:tcW w:w="2542" w:type="dxa"/>
            <w:vMerge w:val="restart"/>
            <w:tcBorders>
              <w:bottom w:val="nil"/>
            </w:tcBorders>
            <w:vAlign w:val="center"/>
          </w:tcPr>
          <w:p w14:paraId="53E9DC55">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本方案自印发之日起一个月内，我区要出台本辖区实施方案。开展全民行动，动员社会各界广泛参与大气污染治理，持续改善空气质量。方案实施过程中要坚持依法行政，防范化解风险，确保平稳有序。</w:t>
            </w:r>
          </w:p>
        </w:tc>
        <w:tc>
          <w:tcPr>
            <w:tcW w:w="3788" w:type="dxa"/>
            <w:vAlign w:val="center"/>
          </w:tcPr>
          <w:p w14:paraId="38CF4754">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我区和各区级部门要细化大气污染治理专项行动2025年年度方案，区级相关部门要围绕重点任务形成专项工作方案，报生态环境分局备案。</w:t>
            </w:r>
          </w:p>
        </w:tc>
        <w:tc>
          <w:tcPr>
            <w:tcW w:w="1066" w:type="dxa"/>
            <w:vAlign w:val="center"/>
          </w:tcPr>
          <w:p w14:paraId="604810B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w:t>
            </w:r>
          </w:p>
        </w:tc>
        <w:tc>
          <w:tcPr>
            <w:tcW w:w="1484" w:type="dxa"/>
            <w:vAlign w:val="center"/>
          </w:tcPr>
          <w:p w14:paraId="1BA14BD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Align w:val="center"/>
          </w:tcPr>
          <w:p w14:paraId="565D0989">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tc>
        <w:tc>
          <w:tcPr>
            <w:tcW w:w="1359" w:type="dxa"/>
            <w:vAlign w:val="center"/>
          </w:tcPr>
          <w:p w14:paraId="631F4E2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74EF328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282FFA8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r w14:paraId="75C03B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2118" w:hRule="atLeast"/>
        </w:trPr>
        <w:tc>
          <w:tcPr>
            <w:tcW w:w="390" w:type="dxa"/>
            <w:vMerge w:val="continue"/>
            <w:tcBorders>
              <w:top w:val="nil"/>
            </w:tcBorders>
            <w:vAlign w:val="center"/>
          </w:tcPr>
          <w:p w14:paraId="555C202A">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885" w:type="dxa"/>
            <w:vMerge w:val="continue"/>
            <w:tcBorders>
              <w:top w:val="single" w:color="auto" w:sz="4" w:space="0"/>
              <w:bottom w:val="single" w:color="auto" w:sz="4" w:space="0"/>
            </w:tcBorders>
            <w:vAlign w:val="center"/>
          </w:tcPr>
          <w:p w14:paraId="0AFDEAD1">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1432" w:type="dxa"/>
            <w:vMerge w:val="continue"/>
            <w:tcBorders>
              <w:top w:val="nil"/>
            </w:tcBorders>
            <w:vAlign w:val="center"/>
          </w:tcPr>
          <w:p w14:paraId="109998C1">
            <w:pPr>
              <w:widowControl w:val="0"/>
              <w:kinsoku/>
              <w:autoSpaceDE/>
              <w:autoSpaceDN/>
              <w:spacing w:line="270" w:lineRule="exact"/>
              <w:jc w:val="both"/>
              <w:rPr>
                <w:rFonts w:ascii="Times New Roman" w:hAnsi="Times New Roman" w:cs="Times New Roman" w:eastAsiaTheme="minorEastAsia"/>
                <w:color w:val="000000" w:themeColor="text1"/>
                <w:spacing w:val="-6"/>
              </w:rPr>
            </w:pPr>
          </w:p>
        </w:tc>
        <w:tc>
          <w:tcPr>
            <w:tcW w:w="2542" w:type="dxa"/>
            <w:vMerge w:val="continue"/>
            <w:tcBorders>
              <w:top w:val="nil"/>
            </w:tcBorders>
            <w:vAlign w:val="center"/>
          </w:tcPr>
          <w:p w14:paraId="438BFF98">
            <w:pPr>
              <w:widowControl w:val="0"/>
              <w:kinsoku/>
              <w:autoSpaceDE/>
              <w:autoSpaceDN/>
              <w:spacing w:line="240" w:lineRule="exact"/>
              <w:jc w:val="both"/>
              <w:rPr>
                <w:rFonts w:ascii="Times New Roman" w:hAnsi="Times New Roman" w:cs="Times New Roman" w:eastAsiaTheme="minorEastAsia"/>
                <w:color w:val="000000" w:themeColor="text1"/>
                <w:spacing w:val="-6"/>
              </w:rPr>
            </w:pPr>
          </w:p>
        </w:tc>
        <w:tc>
          <w:tcPr>
            <w:tcW w:w="3788" w:type="dxa"/>
            <w:vAlign w:val="center"/>
          </w:tcPr>
          <w:p w14:paraId="2BA9C6B6">
            <w:pPr>
              <w:pStyle w:val="11"/>
              <w:widowControl w:val="0"/>
              <w:kinsoku/>
              <w:autoSpaceDE/>
              <w:autoSpaceDN/>
              <w:spacing w:line="240" w:lineRule="exact"/>
              <w:jc w:val="both"/>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进一步加大“陕西省公民蓝天公约”宣传力度，积极倡导全民自觉践行，推动公众参与大气污染治理。完善举报奖励机制，运用好“西安生态随手拍”，动员公众对大气环境违法行为进行举报。每季度通过网站等公开渠道，对典型违法案例进行曝光，发挥警示作用。</w:t>
            </w:r>
          </w:p>
        </w:tc>
        <w:tc>
          <w:tcPr>
            <w:tcW w:w="1066" w:type="dxa"/>
            <w:vAlign w:val="center"/>
          </w:tcPr>
          <w:p w14:paraId="59F0646C">
            <w:pPr>
              <w:pStyle w:val="11"/>
              <w:widowControl w:val="0"/>
              <w:kinsoku/>
              <w:autoSpaceDE/>
              <w:autoSpaceDN/>
              <w:spacing w:line="240" w:lineRule="exact"/>
              <w:jc w:val="center"/>
              <w:rPr>
                <w:rFonts w:ascii="Times New Roman" w:hAnsi="Times New Roman" w:cs="Times New Roman" w:eastAsiaTheme="minorEastAsia"/>
                <w:color w:val="000000" w:themeColor="text1"/>
                <w:spacing w:val="-6"/>
              </w:rPr>
            </w:pPr>
            <w:r>
              <w:rPr>
                <w:rFonts w:ascii="Times New Roman" w:hAnsi="Times New Roman" w:cs="Times New Roman" w:eastAsiaTheme="minorEastAsia"/>
                <w:color w:val="000000" w:themeColor="text1"/>
                <w:spacing w:val="-6"/>
              </w:rPr>
              <w:t>全年</w:t>
            </w:r>
          </w:p>
        </w:tc>
        <w:tc>
          <w:tcPr>
            <w:tcW w:w="1484" w:type="dxa"/>
            <w:vAlign w:val="center"/>
          </w:tcPr>
          <w:p w14:paraId="6219E264">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生态环境分局</w:t>
            </w:r>
          </w:p>
        </w:tc>
        <w:tc>
          <w:tcPr>
            <w:tcW w:w="1596" w:type="dxa"/>
            <w:vAlign w:val="center"/>
          </w:tcPr>
          <w:p w14:paraId="5BC7C58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区委宣传部</w:t>
            </w:r>
          </w:p>
          <w:p w14:paraId="66C813A2">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区融媒体中心</w:t>
            </w:r>
          </w:p>
        </w:tc>
        <w:tc>
          <w:tcPr>
            <w:tcW w:w="1359" w:type="dxa"/>
            <w:vAlign w:val="center"/>
          </w:tcPr>
          <w:p w14:paraId="436FEB76">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区级相关部门</w:t>
            </w:r>
          </w:p>
          <w:p w14:paraId="4272BA53">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各街道办事处</w:t>
            </w:r>
          </w:p>
          <w:p w14:paraId="315C2D7A">
            <w:pPr>
              <w:pStyle w:val="11"/>
              <w:widowControl w:val="0"/>
              <w:kinsoku/>
              <w:autoSpaceDE/>
              <w:autoSpaceDN/>
              <w:spacing w:line="240" w:lineRule="exact"/>
              <w:jc w:val="center"/>
              <w:rPr>
                <w:rFonts w:ascii="Times New Roman" w:hAnsi="Times New Roman" w:cs="Times New Roman" w:eastAsiaTheme="minorEastAsia"/>
                <w:color w:val="000000" w:themeColor="text1"/>
                <w:spacing w:val="-6"/>
                <w:lang w:eastAsia="zh-CN"/>
              </w:rPr>
            </w:pPr>
            <w:r>
              <w:rPr>
                <w:rFonts w:ascii="Times New Roman" w:hAnsi="Times New Roman" w:cs="Times New Roman" w:eastAsiaTheme="minorEastAsia"/>
                <w:color w:val="000000" w:themeColor="text1"/>
                <w:spacing w:val="-6"/>
                <w:lang w:eastAsia="zh-CN"/>
              </w:rPr>
              <w:t>各园区管委会</w:t>
            </w:r>
          </w:p>
        </w:tc>
      </w:tr>
    </w:tbl>
    <w:p w14:paraId="62005E42">
      <w:pPr>
        <w:widowControl w:val="0"/>
        <w:kinsoku/>
        <w:autoSpaceDE/>
        <w:autoSpaceDN/>
        <w:jc w:val="both"/>
        <w:rPr>
          <w:rFonts w:ascii="Times New Roman" w:hAnsi="Times New Roman" w:eastAsia="仿宋_GB2312" w:cs="Times New Roman"/>
          <w:color w:val="000000" w:themeColor="text1"/>
          <w:spacing w:val="-6"/>
          <w:sz w:val="24"/>
          <w:szCs w:val="24"/>
        </w:rPr>
        <w:sectPr>
          <w:headerReference r:id="rId6" w:type="default"/>
          <w:footerReference r:id="rId8" w:type="default"/>
          <w:headerReference r:id="rId7" w:type="even"/>
          <w:footerReference r:id="rId9" w:type="even"/>
          <w:pgSz w:w="16829" w:h="11901" w:orient="landscape"/>
          <w:pgMar w:top="1701" w:right="1474" w:bottom="1134" w:left="1588" w:header="0" w:footer="1134" w:gutter="0"/>
          <w:pgNumType w:fmt="numberInDash"/>
          <w:cols w:space="720" w:num="1"/>
          <w:docGrid w:linePitch="286" w:charSpace="0"/>
        </w:sectPr>
      </w:pPr>
    </w:p>
    <w:p w14:paraId="027050EB">
      <w:pPr>
        <w:widowControl w:val="0"/>
        <w:kinsoku/>
        <w:autoSpaceDE/>
        <w:autoSpaceDN/>
        <w:jc w:val="both"/>
        <w:rPr>
          <w:rFonts w:ascii="Times New Roman" w:hAnsi="Times New Roman" w:eastAsia="黑体" w:cs="Times New Roman"/>
          <w:color w:val="000000" w:themeColor="text1"/>
          <w:spacing w:val="-6"/>
          <w:sz w:val="32"/>
          <w:szCs w:val="32"/>
        </w:rPr>
      </w:pPr>
      <w:r>
        <w:rPr>
          <w:rFonts w:ascii="Times New Roman" w:hAnsi="Times New Roman" w:eastAsia="黑体" w:cs="Times New Roman"/>
          <w:color w:val="000000" w:themeColor="text1"/>
          <w:spacing w:val="-6"/>
          <w:sz w:val="32"/>
          <w:szCs w:val="32"/>
        </w:rPr>
        <w:t>附件2</w:t>
      </w:r>
    </w:p>
    <w:p w14:paraId="7E1D21D8">
      <w:pPr>
        <w:widowControl w:val="0"/>
        <w:kinsoku/>
        <w:autoSpaceDE/>
        <w:autoSpaceDN/>
        <w:jc w:val="both"/>
        <w:rPr>
          <w:rFonts w:ascii="Times New Roman" w:hAnsi="Times New Roman" w:eastAsia="方正小标宋简体" w:cs="Times New Roman"/>
          <w:color w:val="000000" w:themeColor="text1"/>
          <w:spacing w:val="-6"/>
          <w:sz w:val="44"/>
          <w:szCs w:val="44"/>
        </w:rPr>
      </w:pPr>
    </w:p>
    <w:p w14:paraId="2E507F70">
      <w:pPr>
        <w:widowControl w:val="0"/>
        <w:kinsoku/>
        <w:autoSpaceDE/>
        <w:autoSpaceDN/>
        <w:jc w:val="center"/>
        <w:rPr>
          <w:rFonts w:ascii="Times New Roman" w:hAnsi="Times New Roman" w:eastAsia="方正小标宋简体" w:cs="Times New Roman"/>
          <w:color w:val="000000" w:themeColor="text1"/>
          <w:spacing w:val="-6"/>
          <w:sz w:val="44"/>
          <w:szCs w:val="44"/>
        </w:rPr>
      </w:pPr>
      <w:r>
        <w:rPr>
          <w:rFonts w:ascii="Times New Roman" w:hAnsi="Times New Roman" w:eastAsia="方正小标宋简体" w:cs="Times New Roman"/>
          <w:color w:val="000000" w:themeColor="text1"/>
          <w:spacing w:val="-6"/>
          <w:sz w:val="44"/>
          <w:szCs w:val="44"/>
        </w:rPr>
        <w:t>2025年空气质量考核指标</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8"/>
        <w:gridCol w:w="3018"/>
        <w:gridCol w:w="3019"/>
      </w:tblGrid>
      <w:tr w14:paraId="3557B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8" w:type="dxa"/>
          </w:tcPr>
          <w:p w14:paraId="514108FE">
            <w:pPr>
              <w:widowControl w:val="0"/>
              <w:kinsoku/>
              <w:autoSpaceDE/>
              <w:autoSpaceDN/>
              <w:spacing w:line="576" w:lineRule="exact"/>
              <w:jc w:val="center"/>
              <w:rPr>
                <w:rFonts w:ascii="Times New Roman" w:hAnsi="Times New Roman" w:eastAsia="方正小标宋简体" w:cs="Times New Roman"/>
                <w:color w:val="000000" w:themeColor="text1"/>
                <w:spacing w:val="-6"/>
                <w:sz w:val="32"/>
                <w:szCs w:val="32"/>
              </w:rPr>
            </w:pPr>
            <w:r>
              <w:rPr>
                <w:rFonts w:ascii="Times New Roman" w:hAnsi="Times New Roman" w:eastAsia="方正小标宋简体" w:cs="Times New Roman"/>
                <w:color w:val="000000" w:themeColor="text1"/>
                <w:spacing w:val="-6"/>
                <w:sz w:val="32"/>
                <w:szCs w:val="32"/>
              </w:rPr>
              <w:t>区县、开发区</w:t>
            </w:r>
          </w:p>
        </w:tc>
        <w:tc>
          <w:tcPr>
            <w:tcW w:w="3018" w:type="dxa"/>
          </w:tcPr>
          <w:p w14:paraId="0A4664C1">
            <w:pPr>
              <w:widowControl w:val="0"/>
              <w:kinsoku/>
              <w:autoSpaceDE/>
              <w:autoSpaceDN/>
              <w:spacing w:line="576" w:lineRule="exact"/>
              <w:jc w:val="center"/>
              <w:rPr>
                <w:rFonts w:ascii="Times New Roman" w:hAnsi="Times New Roman" w:eastAsia="方正小标宋简体" w:cs="Times New Roman"/>
                <w:color w:val="000000" w:themeColor="text1"/>
                <w:spacing w:val="-6"/>
                <w:sz w:val="32"/>
                <w:szCs w:val="32"/>
              </w:rPr>
            </w:pPr>
            <w:r>
              <w:rPr>
                <w:rFonts w:ascii="Times New Roman" w:hAnsi="Times New Roman" w:eastAsia="方正小标宋简体" w:cs="Times New Roman"/>
                <w:color w:val="000000" w:themeColor="text1"/>
                <w:spacing w:val="-6"/>
                <w:sz w:val="32"/>
                <w:szCs w:val="32"/>
              </w:rPr>
              <w:t>优良天数指标</w:t>
            </w:r>
          </w:p>
        </w:tc>
        <w:tc>
          <w:tcPr>
            <w:tcW w:w="3019" w:type="dxa"/>
          </w:tcPr>
          <w:p w14:paraId="3C23A448">
            <w:pPr>
              <w:widowControl w:val="0"/>
              <w:kinsoku/>
              <w:autoSpaceDE/>
              <w:autoSpaceDN/>
              <w:spacing w:line="576" w:lineRule="exact"/>
              <w:jc w:val="center"/>
              <w:rPr>
                <w:rFonts w:ascii="Times New Roman" w:hAnsi="Times New Roman" w:eastAsia="方正小标宋简体" w:cs="Times New Roman"/>
                <w:color w:val="000000" w:themeColor="text1"/>
                <w:spacing w:val="-6"/>
                <w:sz w:val="32"/>
                <w:szCs w:val="32"/>
              </w:rPr>
            </w:pPr>
            <w:r>
              <w:rPr>
                <w:rFonts w:ascii="Times New Roman" w:hAnsi="Times New Roman" w:eastAsia="方正小标宋简体" w:cs="Times New Roman"/>
                <w:color w:val="000000" w:themeColor="text1"/>
                <w:spacing w:val="-6"/>
                <w:sz w:val="32"/>
                <w:szCs w:val="32"/>
              </w:rPr>
              <w:t>PM</w:t>
            </w:r>
            <w:r>
              <w:rPr>
                <w:rFonts w:ascii="Times New Roman" w:hAnsi="Times New Roman" w:eastAsia="方正小标宋简体" w:cs="Times New Roman"/>
                <w:color w:val="000000" w:themeColor="text1"/>
                <w:spacing w:val="-6"/>
                <w:sz w:val="32"/>
                <w:szCs w:val="32"/>
                <w:lang w:eastAsia="zh-CN"/>
              </w:rPr>
              <w:t>2.5</w:t>
            </w:r>
            <w:r>
              <w:rPr>
                <w:rFonts w:ascii="Times New Roman" w:hAnsi="Times New Roman" w:eastAsia="方正小标宋简体" w:cs="Times New Roman"/>
                <w:color w:val="000000" w:themeColor="text1"/>
                <w:spacing w:val="-6"/>
                <w:sz w:val="32"/>
                <w:szCs w:val="32"/>
              </w:rPr>
              <w:t>浓度指标</w:t>
            </w:r>
          </w:p>
        </w:tc>
      </w:tr>
      <w:tr w14:paraId="3DE51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8" w:type="dxa"/>
          </w:tcPr>
          <w:p w14:paraId="73E39CAD">
            <w:pPr>
              <w:widowControl w:val="0"/>
              <w:kinsoku/>
              <w:autoSpaceDE/>
              <w:autoSpaceDN/>
              <w:jc w:val="center"/>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临潼区</w:t>
            </w:r>
          </w:p>
        </w:tc>
        <w:tc>
          <w:tcPr>
            <w:tcW w:w="3018" w:type="dxa"/>
          </w:tcPr>
          <w:p w14:paraId="08B501F0">
            <w:pPr>
              <w:widowControl w:val="0"/>
              <w:kinsoku/>
              <w:autoSpaceDE/>
              <w:autoSpaceDN/>
              <w:jc w:val="center"/>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268</w:t>
            </w:r>
          </w:p>
        </w:tc>
        <w:tc>
          <w:tcPr>
            <w:tcW w:w="3019" w:type="dxa"/>
          </w:tcPr>
          <w:p w14:paraId="247EEEA0">
            <w:pPr>
              <w:widowControl w:val="0"/>
              <w:kinsoku/>
              <w:autoSpaceDE/>
              <w:autoSpaceDN/>
              <w:jc w:val="center"/>
              <w:rPr>
                <w:rFonts w:ascii="Times New Roman" w:hAnsi="Times New Roman" w:eastAsia="仿宋_GB2312" w:cs="Times New Roman"/>
                <w:color w:val="000000" w:themeColor="text1"/>
                <w:spacing w:val="-6"/>
                <w:sz w:val="32"/>
                <w:szCs w:val="32"/>
                <w:lang w:eastAsia="zh-CN"/>
              </w:rPr>
            </w:pPr>
            <w:r>
              <w:rPr>
                <w:rFonts w:ascii="Times New Roman" w:hAnsi="Times New Roman" w:eastAsia="仿宋_GB2312" w:cs="Times New Roman"/>
                <w:color w:val="000000" w:themeColor="text1"/>
                <w:spacing w:val="-6"/>
                <w:sz w:val="32"/>
                <w:szCs w:val="32"/>
                <w:lang w:eastAsia="zh-CN"/>
              </w:rPr>
              <w:t>40</w:t>
            </w:r>
          </w:p>
        </w:tc>
      </w:tr>
    </w:tbl>
    <w:p w14:paraId="00DCE390">
      <w:pPr>
        <w:widowControl w:val="0"/>
        <w:kinsoku/>
        <w:autoSpaceDE/>
        <w:autoSpaceDN/>
        <w:jc w:val="center"/>
        <w:rPr>
          <w:rFonts w:ascii="Times New Roman" w:hAnsi="Times New Roman" w:eastAsia="方正小标宋简体" w:cs="Times New Roman"/>
          <w:color w:val="000000" w:themeColor="text1"/>
          <w:spacing w:val="-6"/>
          <w:sz w:val="44"/>
          <w:szCs w:val="44"/>
        </w:rPr>
      </w:pPr>
    </w:p>
    <w:p w14:paraId="1361A6E0">
      <w:pPr>
        <w:widowControl w:val="0"/>
        <w:kinsoku/>
        <w:autoSpaceDE/>
        <w:autoSpaceDN/>
        <w:jc w:val="center"/>
        <w:rPr>
          <w:rFonts w:ascii="Times New Roman" w:hAnsi="Times New Roman" w:eastAsia="方正小标宋简体" w:cs="Times New Roman"/>
          <w:color w:val="000000" w:themeColor="text1"/>
          <w:spacing w:val="-6"/>
          <w:sz w:val="44"/>
          <w:szCs w:val="44"/>
        </w:rPr>
      </w:pPr>
    </w:p>
    <w:p w14:paraId="7B4EA6C5">
      <w:pPr>
        <w:widowControl w:val="0"/>
        <w:kinsoku/>
        <w:autoSpaceDE/>
        <w:autoSpaceDN/>
        <w:jc w:val="center"/>
        <w:rPr>
          <w:rFonts w:ascii="Times New Roman" w:hAnsi="Times New Roman" w:eastAsia="方正小标宋简体" w:cs="Times New Roman"/>
          <w:color w:val="000000" w:themeColor="text1"/>
          <w:spacing w:val="-6"/>
          <w:sz w:val="44"/>
          <w:szCs w:val="44"/>
        </w:rPr>
      </w:pPr>
    </w:p>
    <w:p w14:paraId="553AF9C6">
      <w:pPr>
        <w:widowControl w:val="0"/>
        <w:kinsoku/>
        <w:autoSpaceDE/>
        <w:autoSpaceDN/>
        <w:jc w:val="center"/>
        <w:rPr>
          <w:rFonts w:ascii="Times New Roman" w:hAnsi="Times New Roman" w:eastAsia="方正小标宋简体" w:cs="Times New Roman"/>
          <w:color w:val="000000" w:themeColor="text1"/>
          <w:spacing w:val="-6"/>
          <w:sz w:val="44"/>
          <w:szCs w:val="44"/>
        </w:rPr>
      </w:pPr>
    </w:p>
    <w:p w14:paraId="128D7396">
      <w:pPr>
        <w:widowControl w:val="0"/>
        <w:kinsoku/>
        <w:autoSpaceDE/>
        <w:autoSpaceDN/>
        <w:jc w:val="center"/>
        <w:rPr>
          <w:rFonts w:ascii="Times New Roman" w:hAnsi="Times New Roman" w:eastAsia="方正小标宋简体" w:cs="Times New Roman"/>
          <w:color w:val="000000" w:themeColor="text1"/>
          <w:spacing w:val="-6"/>
          <w:sz w:val="44"/>
          <w:szCs w:val="44"/>
        </w:rPr>
      </w:pPr>
    </w:p>
    <w:p w14:paraId="77520E80">
      <w:pPr>
        <w:widowControl w:val="0"/>
        <w:kinsoku/>
        <w:autoSpaceDE/>
        <w:autoSpaceDN/>
        <w:jc w:val="center"/>
        <w:rPr>
          <w:rFonts w:ascii="Times New Roman" w:hAnsi="Times New Roman" w:eastAsia="方正小标宋简体" w:cs="Times New Roman"/>
          <w:color w:val="000000" w:themeColor="text1"/>
          <w:spacing w:val="-6"/>
          <w:sz w:val="44"/>
          <w:szCs w:val="44"/>
        </w:rPr>
      </w:pPr>
    </w:p>
    <w:p w14:paraId="7B11FA15">
      <w:pPr>
        <w:widowControl w:val="0"/>
        <w:kinsoku/>
        <w:autoSpaceDE/>
        <w:autoSpaceDN/>
        <w:jc w:val="center"/>
        <w:rPr>
          <w:rFonts w:ascii="Times New Roman" w:hAnsi="Times New Roman" w:eastAsia="方正小标宋简体" w:cs="Times New Roman"/>
          <w:color w:val="000000" w:themeColor="text1"/>
          <w:spacing w:val="-6"/>
          <w:sz w:val="44"/>
          <w:szCs w:val="44"/>
        </w:rPr>
      </w:pPr>
    </w:p>
    <w:p w14:paraId="09161C2C">
      <w:pPr>
        <w:widowControl w:val="0"/>
        <w:kinsoku/>
        <w:autoSpaceDE/>
        <w:autoSpaceDN/>
        <w:jc w:val="center"/>
        <w:rPr>
          <w:rFonts w:ascii="Times New Roman" w:hAnsi="Times New Roman" w:eastAsia="方正小标宋简体" w:cs="Times New Roman"/>
          <w:color w:val="000000" w:themeColor="text1"/>
          <w:spacing w:val="-6"/>
          <w:sz w:val="44"/>
          <w:szCs w:val="44"/>
        </w:rPr>
      </w:pPr>
    </w:p>
    <w:p w14:paraId="7A211528">
      <w:pPr>
        <w:widowControl w:val="0"/>
        <w:kinsoku/>
        <w:autoSpaceDE/>
        <w:autoSpaceDN/>
        <w:jc w:val="center"/>
        <w:rPr>
          <w:rFonts w:ascii="Times New Roman" w:hAnsi="Times New Roman" w:eastAsia="方正小标宋简体" w:cs="Times New Roman"/>
          <w:color w:val="000000" w:themeColor="text1"/>
          <w:spacing w:val="-6"/>
          <w:sz w:val="44"/>
          <w:szCs w:val="44"/>
        </w:rPr>
      </w:pPr>
    </w:p>
    <w:p w14:paraId="0A56277F">
      <w:pPr>
        <w:widowControl w:val="0"/>
        <w:kinsoku/>
        <w:autoSpaceDE/>
        <w:autoSpaceDN/>
        <w:jc w:val="center"/>
        <w:rPr>
          <w:rFonts w:ascii="Times New Roman" w:hAnsi="Times New Roman" w:eastAsia="方正小标宋简体" w:cs="Times New Roman"/>
          <w:color w:val="000000" w:themeColor="text1"/>
          <w:spacing w:val="-6"/>
          <w:sz w:val="44"/>
          <w:szCs w:val="44"/>
        </w:rPr>
      </w:pPr>
    </w:p>
    <w:p w14:paraId="591499CE">
      <w:pPr>
        <w:widowControl w:val="0"/>
        <w:kinsoku/>
        <w:autoSpaceDE/>
        <w:autoSpaceDN/>
        <w:jc w:val="center"/>
        <w:rPr>
          <w:rFonts w:ascii="Times New Roman" w:hAnsi="Times New Roman" w:eastAsia="方正小标宋简体" w:cs="Times New Roman"/>
          <w:color w:val="000000" w:themeColor="text1"/>
          <w:spacing w:val="-6"/>
          <w:sz w:val="44"/>
          <w:szCs w:val="44"/>
        </w:rPr>
      </w:pPr>
    </w:p>
    <w:p w14:paraId="59440C95">
      <w:pPr>
        <w:widowControl w:val="0"/>
        <w:kinsoku/>
        <w:autoSpaceDE/>
        <w:autoSpaceDN/>
        <w:jc w:val="center"/>
        <w:rPr>
          <w:rFonts w:ascii="Times New Roman" w:hAnsi="Times New Roman" w:eastAsia="方正小标宋简体" w:cs="Times New Roman"/>
          <w:color w:val="000000" w:themeColor="text1"/>
          <w:spacing w:val="-6"/>
          <w:sz w:val="44"/>
          <w:szCs w:val="44"/>
        </w:rPr>
      </w:pPr>
    </w:p>
    <w:p w14:paraId="4FF66665">
      <w:pPr>
        <w:widowControl w:val="0"/>
        <w:kinsoku/>
        <w:autoSpaceDE/>
        <w:autoSpaceDN/>
        <w:jc w:val="center"/>
        <w:rPr>
          <w:rFonts w:ascii="Times New Roman" w:hAnsi="Times New Roman" w:eastAsia="方正小标宋简体" w:cs="Times New Roman"/>
          <w:color w:val="000000" w:themeColor="text1"/>
          <w:spacing w:val="-6"/>
          <w:sz w:val="44"/>
          <w:szCs w:val="44"/>
          <w:lang w:eastAsia="zh-CN"/>
        </w:rPr>
      </w:pPr>
    </w:p>
    <w:p w14:paraId="6B77E828">
      <w:pPr>
        <w:pStyle w:val="2"/>
        <w:rPr>
          <w:lang w:eastAsia="zh-CN"/>
        </w:rPr>
      </w:pPr>
    </w:p>
    <w:p w14:paraId="62A39FCE">
      <w:pPr>
        <w:pStyle w:val="3"/>
        <w:numPr>
          <w:ilvl w:val="0"/>
          <w:numId w:val="0"/>
        </w:numPr>
        <w:spacing w:before="120"/>
        <w:ind w:left="720" w:hanging="720"/>
        <w:rPr>
          <w:lang w:eastAsia="zh-CN"/>
        </w:rPr>
      </w:pPr>
    </w:p>
    <w:p w14:paraId="6B6B1229">
      <w:pPr>
        <w:pStyle w:val="3"/>
        <w:numPr>
          <w:ilvl w:val="0"/>
          <w:numId w:val="0"/>
        </w:numPr>
        <w:spacing w:before="120"/>
        <w:ind w:left="720" w:hanging="720"/>
        <w:rPr>
          <w:lang w:eastAsia="zh-CN"/>
        </w:rPr>
      </w:pPr>
    </w:p>
    <w:p w14:paraId="73D0A6F3">
      <w:pPr>
        <w:pStyle w:val="3"/>
        <w:numPr>
          <w:ilvl w:val="0"/>
          <w:numId w:val="0"/>
        </w:numPr>
        <w:spacing w:before="120"/>
        <w:ind w:left="720" w:hanging="720"/>
        <w:rPr>
          <w:lang w:eastAsia="zh-CN"/>
        </w:rPr>
      </w:pPr>
    </w:p>
    <w:p w14:paraId="5447517F">
      <w:pPr>
        <w:pStyle w:val="3"/>
        <w:numPr>
          <w:ilvl w:val="0"/>
          <w:numId w:val="0"/>
        </w:numPr>
        <w:spacing w:before="120"/>
        <w:ind w:left="720" w:hanging="720"/>
        <w:rPr>
          <w:lang w:eastAsia="zh-CN"/>
        </w:rPr>
      </w:pPr>
    </w:p>
    <w:p w14:paraId="2F36175A">
      <w:pPr>
        <w:pStyle w:val="3"/>
        <w:numPr>
          <w:ilvl w:val="0"/>
          <w:numId w:val="0"/>
        </w:numPr>
        <w:spacing w:before="120"/>
        <w:ind w:left="720" w:hanging="720"/>
        <w:rPr>
          <w:lang w:eastAsia="zh-CN"/>
        </w:rPr>
      </w:pPr>
    </w:p>
    <w:p w14:paraId="67BFF8C3">
      <w:pPr>
        <w:pStyle w:val="3"/>
        <w:numPr>
          <w:ilvl w:val="0"/>
          <w:numId w:val="0"/>
        </w:numPr>
        <w:spacing w:before="120"/>
        <w:ind w:left="720" w:hanging="720"/>
        <w:rPr>
          <w:lang w:eastAsia="zh-CN"/>
        </w:rPr>
      </w:pPr>
    </w:p>
    <w:p w14:paraId="1960B26F">
      <w:pPr>
        <w:tabs>
          <w:tab w:val="left" w:pos="9781"/>
        </w:tabs>
        <w:rPr>
          <w:rFonts w:ascii="Times New Roman" w:hAnsi="Times New Roman" w:eastAsia="仿宋_GB2312"/>
          <w:sz w:val="32"/>
          <w:szCs w:val="32"/>
        </w:rPr>
      </w:pPr>
    </w:p>
    <w:p w14:paraId="700FAE6C">
      <w:pPr>
        <w:pBdr>
          <w:top w:val="single" w:color="auto" w:sz="6" w:space="1"/>
          <w:bottom w:val="single" w:color="auto" w:sz="6" w:space="8"/>
        </w:pBdr>
        <w:spacing w:line="500" w:lineRule="exact"/>
        <w:ind w:firstLine="140" w:firstLineChars="50"/>
        <w:rPr>
          <w:rFonts w:ascii="Times New Roman" w:hAnsi="Times New Roman" w:eastAsia="方正小标宋简体" w:cs="Times New Roman"/>
          <w:color w:val="000000" w:themeColor="text1"/>
          <w:spacing w:val="-6"/>
          <w:sz w:val="44"/>
          <w:szCs w:val="44"/>
          <w:lang w:eastAsia="zh-CN"/>
        </w:rPr>
      </w:pPr>
      <w:r>
        <w:rPr>
          <w:rFonts w:ascii="Times New Roman" w:eastAsia="方正仿宋简体"/>
          <w:sz w:val="28"/>
          <w:szCs w:val="28"/>
          <w:lang w:eastAsia="zh-CN"/>
        </w:rPr>
        <w:t>西安市临潼区人民政府办公室</w:t>
      </w:r>
      <w:r>
        <w:rPr>
          <w:rFonts w:ascii="Times New Roman" w:hAnsi="Times New Roman" w:eastAsia="方正仿宋简体"/>
          <w:sz w:val="28"/>
          <w:szCs w:val="28"/>
          <w:lang w:eastAsia="zh-CN"/>
        </w:rPr>
        <w:t xml:space="preserve">         </w:t>
      </w:r>
      <w:r>
        <w:rPr>
          <w:rFonts w:hint="eastAsia" w:ascii="Times New Roman" w:hAnsi="Times New Roman" w:eastAsia="方正仿宋简体"/>
          <w:sz w:val="28"/>
          <w:szCs w:val="28"/>
          <w:lang w:eastAsia="zh-CN"/>
        </w:rPr>
        <w:t xml:space="preserve">                    </w:t>
      </w:r>
      <w:r>
        <w:rPr>
          <w:rFonts w:ascii="Times New Roman" w:hAnsi="Times New Roman" w:eastAsia="方正仿宋简体"/>
          <w:sz w:val="28"/>
          <w:szCs w:val="28"/>
          <w:lang w:eastAsia="zh-CN"/>
        </w:rPr>
        <w:t xml:space="preserve">        2025</w:t>
      </w:r>
      <w:r>
        <w:rPr>
          <w:rFonts w:ascii="Times New Roman" w:eastAsia="方正仿宋简体"/>
          <w:sz w:val="28"/>
          <w:szCs w:val="28"/>
          <w:lang w:eastAsia="zh-CN"/>
        </w:rPr>
        <w:t>年</w:t>
      </w:r>
      <w:r>
        <w:rPr>
          <w:rFonts w:ascii="Times New Roman" w:hAnsi="Times New Roman" w:eastAsia="方正仿宋简体"/>
          <w:sz w:val="28"/>
          <w:szCs w:val="28"/>
          <w:lang w:eastAsia="zh-CN"/>
        </w:rPr>
        <w:t>4</w:t>
      </w:r>
      <w:r>
        <w:rPr>
          <w:rFonts w:ascii="Times New Roman" w:eastAsia="方正仿宋简体"/>
          <w:sz w:val="28"/>
          <w:szCs w:val="28"/>
          <w:lang w:eastAsia="zh-CN"/>
        </w:rPr>
        <w:t>月</w:t>
      </w:r>
      <w:r>
        <w:rPr>
          <w:rFonts w:hint="eastAsia" w:ascii="Times New Roman" w:hAnsi="Times New Roman" w:eastAsia="方正仿宋简体"/>
          <w:sz w:val="28"/>
          <w:szCs w:val="28"/>
          <w:lang w:eastAsia="zh-CN"/>
        </w:rPr>
        <w:t>30</w:t>
      </w:r>
      <w:r>
        <w:rPr>
          <w:rFonts w:ascii="Times New Roman" w:eastAsia="方正仿宋简体"/>
          <w:sz w:val="28"/>
          <w:szCs w:val="28"/>
          <w:lang w:eastAsia="zh-CN"/>
        </w:rPr>
        <w:t>日印发</w:t>
      </w:r>
    </w:p>
    <w:sectPr>
      <w:footerReference r:id="rId10" w:type="default"/>
      <w:footerReference r:id="rId11" w:type="even"/>
      <w:pgSz w:w="11900" w:h="16830"/>
      <w:pgMar w:top="1701" w:right="1418" w:bottom="1134" w:left="1418" w:header="0" w:footer="1134" w:gutter="0"/>
      <w:pgNumType w:fmt="numberInDash"/>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2559188"/>
      <w:docPartObj>
        <w:docPartGallery w:val="AutoText"/>
      </w:docPartObj>
    </w:sdtPr>
    <w:sdtEndPr>
      <w:rPr>
        <w:rFonts w:asciiTheme="majorEastAsia" w:hAnsiTheme="majorEastAsia" w:eastAsiaTheme="majorEastAsia"/>
        <w:sz w:val="28"/>
        <w:szCs w:val="28"/>
      </w:rPr>
    </w:sdtEndPr>
    <w:sdtContent>
      <w:p w14:paraId="6242C1BC">
        <w:pPr>
          <w:pStyle w:val="4"/>
          <w:ind w:left="-1" w:leftChars="-67" w:hanging="140" w:hangingChars="78"/>
          <w:jc w:val="center"/>
          <w:rPr>
            <w:rFonts w:asciiTheme="majorEastAsia" w:hAnsiTheme="majorEastAsia" w:eastAsiaTheme="majorEastAsia"/>
            <w:sz w:val="28"/>
            <w:szCs w:val="28"/>
          </w:rPr>
        </w:pPr>
        <w:r>
          <w:rPr>
            <w:rFonts w:hint="eastAsia" w:eastAsiaTheme="minorEastAsia"/>
            <w:lang w:eastAsia="zh-CN"/>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17 -</w:t>
        </w:r>
        <w:r>
          <w:rPr>
            <w:rFonts w:asciiTheme="majorEastAsia" w:hAnsiTheme="majorEastAsia" w:eastAsiaTheme="majorEastAsia"/>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2559458"/>
      <w:docPartObj>
        <w:docPartGallery w:val="AutoText"/>
      </w:docPartObj>
    </w:sdtPr>
    <w:sdtEndPr>
      <w:rPr>
        <w:rFonts w:asciiTheme="majorEastAsia" w:hAnsiTheme="majorEastAsia" w:eastAsiaTheme="majorEastAsia"/>
        <w:sz w:val="28"/>
        <w:szCs w:val="28"/>
      </w:rPr>
    </w:sdtEndPr>
    <w:sdtContent>
      <w:p w14:paraId="252A4004">
        <w:pPr>
          <w:pStyle w:val="4"/>
          <w:ind w:firstLine="90" w:firstLineChars="50"/>
          <w:jc w:val="center"/>
          <w:rPr>
            <w:rFonts w:asciiTheme="majorEastAsia" w:hAnsiTheme="majorEastAsia" w:eastAsiaTheme="majorEastAsia"/>
            <w:sz w:val="28"/>
            <w:szCs w:val="28"/>
          </w:rPr>
        </w:pPr>
        <w:r>
          <w:rPr>
            <w:rFonts w:hint="eastAsia" w:eastAsiaTheme="minorEastAsia"/>
            <w:lang w:eastAsia="zh-CN"/>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16 -</w:t>
        </w:r>
        <w:r>
          <w:rPr>
            <w:rFonts w:asciiTheme="majorEastAsia" w:hAnsiTheme="majorEastAsia" w:eastAsiaTheme="majorEastAsia"/>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2560210"/>
      <w:docPartObj>
        <w:docPartGallery w:val="AutoText"/>
      </w:docPartObj>
    </w:sdtPr>
    <w:sdtEndPr>
      <w:rPr>
        <w:rFonts w:asciiTheme="majorEastAsia" w:hAnsiTheme="majorEastAsia" w:eastAsiaTheme="majorEastAsia"/>
        <w:sz w:val="28"/>
        <w:szCs w:val="28"/>
      </w:rPr>
    </w:sdtEndPr>
    <w:sdtContent>
      <w:p w14:paraId="5D5929D0">
        <w:pPr>
          <w:pStyle w:val="4"/>
          <w:ind w:left="-1" w:leftChars="-67" w:hanging="140" w:hangingChars="78"/>
          <w:rPr>
            <w:rFonts w:asciiTheme="majorEastAsia" w:hAnsiTheme="majorEastAsia" w:eastAsiaTheme="majorEastAsia"/>
            <w:sz w:val="28"/>
            <w:szCs w:val="28"/>
          </w:rPr>
        </w:pPr>
        <w:r>
          <w:rPr>
            <w:rFonts w:hint="eastAsia" w:eastAsiaTheme="minorEastAsia"/>
            <w:lang w:eastAsia="zh-CN"/>
          </w:rPr>
          <w:t xml:space="preserve">                                                                                                                                         </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19 -</w:t>
        </w:r>
        <w:r>
          <w:rPr>
            <w:rFonts w:asciiTheme="majorEastAsia" w:hAnsiTheme="majorEastAsia" w:eastAsiaTheme="majorEastAsia"/>
            <w:sz w:val="28"/>
            <w:szCs w:val="28"/>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12559931"/>
      <w:docPartObj>
        <w:docPartGallery w:val="AutoText"/>
      </w:docPartObj>
    </w:sdtPr>
    <w:sdtEndPr>
      <w:rPr>
        <w:rFonts w:asciiTheme="majorEastAsia" w:hAnsiTheme="majorEastAsia" w:eastAsiaTheme="majorEastAsia"/>
        <w:sz w:val="28"/>
        <w:szCs w:val="28"/>
      </w:rPr>
    </w:sdtEndPr>
    <w:sdtContent>
      <w:p w14:paraId="64BEFBC5">
        <w:pPr>
          <w:pStyle w:val="4"/>
          <w:jc w:val="center"/>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18 -</w:t>
        </w:r>
        <w:r>
          <w:rPr>
            <w:rFonts w:asciiTheme="majorEastAsia" w:hAnsiTheme="majorEastAsia" w:eastAsiaTheme="majorEastAsia"/>
            <w:sz w:val="28"/>
            <w:szCs w:val="28"/>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892D0">
    <w:pPr>
      <w:pStyle w:val="4"/>
      <w:tabs>
        <w:tab w:val="center" w:pos="4419"/>
        <w:tab w:val="clear" w:pos="4153"/>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4DEE3F7">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- 45 -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24DEE3F7">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- 45 -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r>
      <w:rPr>
        <w:rFonts w:hint="eastAsia" w:eastAsia="宋体"/>
        <w:lang w:eastAsia="zh-CN"/>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313B5">
    <w:pPr>
      <w:pStyle w:val="4"/>
      <w:ind w:firstLine="420" w:firstLineChars="150"/>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w:t>
    </w:r>
    <w:r>
      <w:rPr>
        <w:rFonts w:asciiTheme="majorEastAsia" w:hAnsiTheme="majorEastAsia" w:eastAsiaTheme="majorEastAsia"/>
        <w:sz w:val="28"/>
        <w:szCs w:val="28"/>
      </w:rPr>
      <w:t xml:space="preserve"> 44 -</w:t>
    </w:r>
    <w:r>
      <w:rPr>
        <w:rFonts w:asciiTheme="majorEastAsia" w:hAnsiTheme="majorEastAsia" w:eastAsiaTheme="majorEastAsia"/>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C8941">
    <w:pPr>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B4BB55">
    <w:pPr>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1EA8D1">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4F48B8"/>
    <w:multiLevelType w:val="multilevel"/>
    <w:tmpl w:val="7F4F48B8"/>
    <w:lvl w:ilvl="0" w:tentative="0">
      <w:start w:val="1"/>
      <w:numFmt w:val="decimal"/>
      <w:pStyle w:val="3"/>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evenAndOddHeaders w:val="1"/>
  <w:drawingGridHorizontalSpacing w:val="105"/>
  <w:displayHorizontalDrawingGridEvery w:val="2"/>
  <w:noPunctuationKerning w:val="1"/>
  <w:characterSpacingControl w:val="doNotCompress"/>
  <w:hdrShapeDefaults>
    <o:shapelayout v:ext="edit">
      <o:idmap v:ext="edit" data="1"/>
    </o:shapelayout>
  </w:hdrShapeDefaults>
  <w:compat>
    <w:spaceForUL/>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81B"/>
    <w:rsid w:val="00077254"/>
    <w:rsid w:val="00105CB3"/>
    <w:rsid w:val="001F3B21"/>
    <w:rsid w:val="002D315A"/>
    <w:rsid w:val="00305787"/>
    <w:rsid w:val="00396008"/>
    <w:rsid w:val="007C717F"/>
    <w:rsid w:val="00DC481B"/>
    <w:rsid w:val="00E3567D"/>
    <w:rsid w:val="00F04A8D"/>
    <w:rsid w:val="02C45EFC"/>
    <w:rsid w:val="0340173B"/>
    <w:rsid w:val="060F639F"/>
    <w:rsid w:val="06451DC1"/>
    <w:rsid w:val="06AA135C"/>
    <w:rsid w:val="06F3462A"/>
    <w:rsid w:val="0735266F"/>
    <w:rsid w:val="07C84A57"/>
    <w:rsid w:val="07EE1DA0"/>
    <w:rsid w:val="0AE918B4"/>
    <w:rsid w:val="0CEC2F96"/>
    <w:rsid w:val="0CF44C71"/>
    <w:rsid w:val="0E195CCB"/>
    <w:rsid w:val="0EA51EB3"/>
    <w:rsid w:val="0FBA7763"/>
    <w:rsid w:val="10501A8E"/>
    <w:rsid w:val="10D80401"/>
    <w:rsid w:val="10FE14EA"/>
    <w:rsid w:val="11755C50"/>
    <w:rsid w:val="11E82659"/>
    <w:rsid w:val="124473D0"/>
    <w:rsid w:val="12491D69"/>
    <w:rsid w:val="12D40782"/>
    <w:rsid w:val="1319085D"/>
    <w:rsid w:val="13715932"/>
    <w:rsid w:val="13A97E33"/>
    <w:rsid w:val="13CF716E"/>
    <w:rsid w:val="143F0797"/>
    <w:rsid w:val="16247C45"/>
    <w:rsid w:val="166242C9"/>
    <w:rsid w:val="167D1103"/>
    <w:rsid w:val="179F6914"/>
    <w:rsid w:val="17FF44C5"/>
    <w:rsid w:val="18B30A11"/>
    <w:rsid w:val="1AA21E1C"/>
    <w:rsid w:val="1B4855C5"/>
    <w:rsid w:val="1BCB2B72"/>
    <w:rsid w:val="1D9C5508"/>
    <w:rsid w:val="1E3E5127"/>
    <w:rsid w:val="1E8E0351"/>
    <w:rsid w:val="1F533349"/>
    <w:rsid w:val="1F7D0EBD"/>
    <w:rsid w:val="1FFF7032"/>
    <w:rsid w:val="22194C96"/>
    <w:rsid w:val="22AC2D12"/>
    <w:rsid w:val="22E0483E"/>
    <w:rsid w:val="233F1C1A"/>
    <w:rsid w:val="234E3243"/>
    <w:rsid w:val="2551032A"/>
    <w:rsid w:val="25D52D09"/>
    <w:rsid w:val="25F62AB4"/>
    <w:rsid w:val="26484E22"/>
    <w:rsid w:val="2B3D7387"/>
    <w:rsid w:val="2DFE26D1"/>
    <w:rsid w:val="2F3F2FA2"/>
    <w:rsid w:val="300D1A10"/>
    <w:rsid w:val="303E6F6E"/>
    <w:rsid w:val="313E79B5"/>
    <w:rsid w:val="3140197F"/>
    <w:rsid w:val="31CF3200"/>
    <w:rsid w:val="31D200FD"/>
    <w:rsid w:val="33664FA1"/>
    <w:rsid w:val="33FA0960"/>
    <w:rsid w:val="34BC6025"/>
    <w:rsid w:val="35165311"/>
    <w:rsid w:val="37695060"/>
    <w:rsid w:val="3814321D"/>
    <w:rsid w:val="38C369F1"/>
    <w:rsid w:val="38CC7F9C"/>
    <w:rsid w:val="394A2C6F"/>
    <w:rsid w:val="39697599"/>
    <w:rsid w:val="3C1D1103"/>
    <w:rsid w:val="3C4816E7"/>
    <w:rsid w:val="3CCD2CF9"/>
    <w:rsid w:val="3D641C90"/>
    <w:rsid w:val="3D873286"/>
    <w:rsid w:val="3DD9530D"/>
    <w:rsid w:val="3E6E46DE"/>
    <w:rsid w:val="3EA33DE4"/>
    <w:rsid w:val="404B2114"/>
    <w:rsid w:val="411424E0"/>
    <w:rsid w:val="4138027B"/>
    <w:rsid w:val="41AA4248"/>
    <w:rsid w:val="41C06F64"/>
    <w:rsid w:val="428E1185"/>
    <w:rsid w:val="42BE4C63"/>
    <w:rsid w:val="43EE0E2C"/>
    <w:rsid w:val="44782D86"/>
    <w:rsid w:val="451F1453"/>
    <w:rsid w:val="4541586E"/>
    <w:rsid w:val="45462E84"/>
    <w:rsid w:val="46B81B60"/>
    <w:rsid w:val="46B82087"/>
    <w:rsid w:val="49303D10"/>
    <w:rsid w:val="4AAF6DD6"/>
    <w:rsid w:val="4B8F2E8B"/>
    <w:rsid w:val="4C4F6AC2"/>
    <w:rsid w:val="4D5679DC"/>
    <w:rsid w:val="4DA30E74"/>
    <w:rsid w:val="4E854A1D"/>
    <w:rsid w:val="4EFD443D"/>
    <w:rsid w:val="4F6065C7"/>
    <w:rsid w:val="4F7E3798"/>
    <w:rsid w:val="4FE85264"/>
    <w:rsid w:val="502021DE"/>
    <w:rsid w:val="508D1967"/>
    <w:rsid w:val="5099655E"/>
    <w:rsid w:val="51265C59"/>
    <w:rsid w:val="528A2602"/>
    <w:rsid w:val="53A616BE"/>
    <w:rsid w:val="54817A35"/>
    <w:rsid w:val="54901A26"/>
    <w:rsid w:val="5604091D"/>
    <w:rsid w:val="57030BD5"/>
    <w:rsid w:val="571D638F"/>
    <w:rsid w:val="58047E04"/>
    <w:rsid w:val="58313520"/>
    <w:rsid w:val="59EA607C"/>
    <w:rsid w:val="5B3221AA"/>
    <w:rsid w:val="5BC546AB"/>
    <w:rsid w:val="5D9A56C3"/>
    <w:rsid w:val="5DD60DF1"/>
    <w:rsid w:val="5E113BD7"/>
    <w:rsid w:val="5E203E1A"/>
    <w:rsid w:val="5E287173"/>
    <w:rsid w:val="5EC30592"/>
    <w:rsid w:val="5F225970"/>
    <w:rsid w:val="5FA2596D"/>
    <w:rsid w:val="608B54F8"/>
    <w:rsid w:val="639A466F"/>
    <w:rsid w:val="65135B60"/>
    <w:rsid w:val="66961C35"/>
    <w:rsid w:val="66A355E9"/>
    <w:rsid w:val="671604B0"/>
    <w:rsid w:val="67A94E81"/>
    <w:rsid w:val="67C82EAE"/>
    <w:rsid w:val="67D03EC7"/>
    <w:rsid w:val="67FB3202"/>
    <w:rsid w:val="687D3883"/>
    <w:rsid w:val="68B27D65"/>
    <w:rsid w:val="6AF74155"/>
    <w:rsid w:val="6B297183"/>
    <w:rsid w:val="6B9D4CFC"/>
    <w:rsid w:val="6F7B8A0E"/>
    <w:rsid w:val="6FB40F38"/>
    <w:rsid w:val="6FC211D5"/>
    <w:rsid w:val="6FFE7D34"/>
    <w:rsid w:val="70812E3F"/>
    <w:rsid w:val="70B53F76"/>
    <w:rsid w:val="70D775CB"/>
    <w:rsid w:val="71946BA2"/>
    <w:rsid w:val="722D13D1"/>
    <w:rsid w:val="724063E2"/>
    <w:rsid w:val="72DC25AE"/>
    <w:rsid w:val="73231784"/>
    <w:rsid w:val="734D50D9"/>
    <w:rsid w:val="739C3AEB"/>
    <w:rsid w:val="73B452D9"/>
    <w:rsid w:val="73D74B24"/>
    <w:rsid w:val="748B3D8C"/>
    <w:rsid w:val="74EB59B8"/>
    <w:rsid w:val="75DB4D9F"/>
    <w:rsid w:val="76D637B8"/>
    <w:rsid w:val="777A4144"/>
    <w:rsid w:val="7860333A"/>
    <w:rsid w:val="7861548E"/>
    <w:rsid w:val="797A42C9"/>
    <w:rsid w:val="79F75F20"/>
    <w:rsid w:val="7AAC1838"/>
    <w:rsid w:val="7B47340A"/>
    <w:rsid w:val="7B5A1BAF"/>
    <w:rsid w:val="7B78688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qFormat/>
    <w:uiPriority w:val="0"/>
    <w:rPr>
      <w:rFonts w:ascii="仿宋" w:hAnsi="仿宋" w:eastAsia="仿宋" w:cs="仿宋"/>
      <w:sz w:val="31"/>
      <w:szCs w:val="31"/>
    </w:rPr>
  </w:style>
  <w:style w:type="paragraph" w:customStyle="1" w:styleId="3">
    <w:name w:val="正文文本 21"/>
    <w:basedOn w:val="1"/>
    <w:qFormat/>
    <w:uiPriority w:val="0"/>
    <w:pPr>
      <w:numPr>
        <w:ilvl w:val="0"/>
        <w:numId w:val="1"/>
      </w:numPr>
      <w:tabs>
        <w:tab w:val="left" w:pos="1440"/>
      </w:tabs>
      <w:spacing w:beforeLines="50" w:line="336" w:lineRule="auto"/>
    </w:pPr>
    <w:rPr>
      <w:rFonts w:eastAsia="黑体"/>
      <w:szCs w:val="20"/>
    </w:rPr>
  </w:style>
  <w:style w:type="paragraph" w:styleId="4">
    <w:name w:val="footer"/>
    <w:basedOn w:val="1"/>
    <w:link w:val="12"/>
    <w:qFormat/>
    <w:uiPriority w:val="99"/>
    <w:pPr>
      <w:tabs>
        <w:tab w:val="center" w:pos="4153"/>
        <w:tab w:val="right" w:pos="8306"/>
      </w:tabs>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6">
    <w:name w:val="Title"/>
    <w:basedOn w:val="1"/>
    <w:next w:val="1"/>
    <w:qFormat/>
    <w:uiPriority w:val="0"/>
    <w:pPr>
      <w:jc w:val="center"/>
    </w:pPr>
    <w:rPr>
      <w:rFonts w:ascii="方正小标宋简体" w:hAnsi="Cambria" w:eastAsia="方正小标宋简体" w:cs="Times New Roman"/>
      <w:bCs/>
      <w:sz w:val="44"/>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rPr>
      <w:rFonts w:ascii="宋体" w:hAnsi="宋体" w:eastAsia="宋体" w:cs="宋体"/>
    </w:rPr>
  </w:style>
  <w:style w:type="character" w:customStyle="1" w:styleId="12">
    <w:name w:val="页脚 Char"/>
    <w:basedOn w:val="9"/>
    <w:link w:val="4"/>
    <w:uiPriority w:val="99"/>
    <w:rPr>
      <w:rFonts w:ascii="Arial" w:hAnsi="Arial" w:eastAsia="Arial" w:cs="Arial"/>
      <w:snapToGrid w:val="0"/>
      <w:color w:val="000000"/>
      <w:sz w:val="18"/>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DEB614-62C4-4F00-BEFC-158820A4957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44</Pages>
  <Words>356</Words>
  <Characters>384</Characters>
  <Lines>206</Lines>
  <Paragraphs>58</Paragraphs>
  <TotalTime>29</TotalTime>
  <ScaleCrop>false</ScaleCrop>
  <LinksUpToDate>false</LinksUpToDate>
  <CharactersWithSpaces>441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2025-01-07T17:52:00Z</dcterms:created>
  <dc:creator>Kingsoft-PDF</dc:creator>
  <cp:lastModifiedBy>Administrator</cp:lastModifiedBy>
  <cp:lastPrinted>2025-04-30T02:52:00Z</cp:lastPrinted>
  <dcterms:modified xsi:type="dcterms:W3CDTF">2025-05-13T01:37:36Z</dcterms:modified>
  <dc:subject>pdfbuilder</dc:subject>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2025-01-07T09:52:31Z</vt:filetime>
  </property>
  <property fmtid="{D5CDD505-2E9C-101B-9397-08002B2CF9AE}" pid="4" name="UsrData">
    <vt:lpwstr>677c88cf9e0810001fd347f1wl</vt:lpwstr>
  </property>
  <property fmtid="{D5CDD505-2E9C-101B-9397-08002B2CF9AE}" pid="5" name="KSOTemplateDocerSaveRecord">
    <vt:lpwstr>eyJoZGlkIjoiMzc2Y2NiMjE2M2NkNGEyYzFjMTNiMmIxYTQwNmMzZjIifQ==</vt:lpwstr>
  </property>
  <property fmtid="{D5CDD505-2E9C-101B-9397-08002B2CF9AE}" pid="6" name="KSOProductBuildVer">
    <vt:lpwstr>2052-12.1.0.20784</vt:lpwstr>
  </property>
  <property fmtid="{D5CDD505-2E9C-101B-9397-08002B2CF9AE}" pid="7" name="ICV">
    <vt:lpwstr>02F7A201EBD4490AAB08D4FD8E5F3EEA_13</vt:lpwstr>
  </property>
</Properties>
</file>