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0FAF10">
      <w:pPr>
        <w:spacing w:line="276" w:lineRule="auto"/>
        <w:jc w:val="center"/>
        <w:rPr>
          <w:rFonts w:hint="default" w:eastAsia="仿宋_GB2312"/>
          <w:sz w:val="36"/>
          <w:szCs w:val="36"/>
        </w:rPr>
      </w:pPr>
    </w:p>
    <w:p w14:paraId="49104F11">
      <w:pPr>
        <w:spacing w:line="360" w:lineRule="auto"/>
        <w:jc w:val="center"/>
        <w:rPr>
          <w:rFonts w:hint="default" w:eastAsia="仿宋_GB2312"/>
          <w:sz w:val="36"/>
          <w:szCs w:val="36"/>
          <w:lang w:val="en-US" w:eastAsia="zh-CN"/>
        </w:rPr>
      </w:pPr>
      <w:r>
        <w:rPr>
          <w:rFonts w:hint="eastAsia" w:eastAsia="仿宋_GB2312"/>
          <w:sz w:val="36"/>
          <w:szCs w:val="36"/>
          <w:lang w:val="en-US" w:eastAsia="zh-CN"/>
        </w:rPr>
        <w:t xml:space="preserve">       </w:t>
      </w:r>
    </w:p>
    <w:p w14:paraId="10E58B39">
      <w:pPr>
        <w:snapToGrid w:val="0"/>
        <w:spacing w:afterLines="50" w:line="360" w:lineRule="auto"/>
        <w:jc w:val="center"/>
        <w:rPr>
          <w:rFonts w:hint="default" w:eastAsia="仿宋_GB2312"/>
          <w:sz w:val="44"/>
          <w:szCs w:val="44"/>
        </w:rPr>
      </w:pPr>
    </w:p>
    <w:p w14:paraId="61AB49A6">
      <w:pPr>
        <w:snapToGrid w:val="0"/>
        <w:spacing w:afterLines="50" w:line="300" w:lineRule="auto"/>
        <w:jc w:val="center"/>
        <w:rPr>
          <w:rFonts w:hint="default" w:eastAsia="仿宋_GB2312"/>
          <w:sz w:val="28"/>
          <w:szCs w:val="28"/>
        </w:rPr>
      </w:pPr>
    </w:p>
    <w:p w14:paraId="6BA38915">
      <w:pPr>
        <w:snapToGrid w:val="0"/>
        <w:spacing w:line="240" w:lineRule="atLeast"/>
        <w:jc w:val="center"/>
        <w:rPr>
          <w:rFonts w:hint="default" w:eastAsia="仿宋_GB2312"/>
          <w:szCs w:val="21"/>
        </w:rPr>
      </w:pPr>
      <w:r>
        <w:rPr>
          <w:rFonts w:eastAsia="仿宋_GB2312"/>
          <w:sz w:val="44"/>
          <w:szCs w:val="44"/>
        </w:rPr>
        <w:t xml:space="preserve">                    </w:t>
      </w:r>
      <w:r>
        <w:rPr>
          <w:rFonts w:hint="default" w:eastAsia="仿宋_GB2312"/>
          <w:sz w:val="44"/>
          <w:szCs w:val="44"/>
        </w:rPr>
        <w:t xml:space="preserve"> </w:t>
      </w:r>
      <w:r>
        <w:rPr>
          <w:rFonts w:eastAsia="仿宋_GB2312"/>
          <w:sz w:val="44"/>
          <w:szCs w:val="44"/>
        </w:rPr>
        <w:t xml:space="preserve">  </w:t>
      </w:r>
      <w:r>
        <w:rPr>
          <w:rFonts w:hint="default" w:eastAsia="仿宋_GB2312"/>
          <w:sz w:val="32"/>
          <w:szCs w:val="32"/>
        </w:rPr>
        <w:t>临环评批复〔20</w:t>
      </w: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  <w:lang w:val="en-US" w:eastAsia="zh-CN"/>
        </w:rPr>
        <w:t>5</w:t>
      </w:r>
      <w:r>
        <w:rPr>
          <w:rFonts w:hint="default" w:eastAsia="仿宋_GB2312"/>
          <w:sz w:val="32"/>
          <w:szCs w:val="32"/>
        </w:rPr>
        <w:t>〕</w:t>
      </w:r>
      <w:r>
        <w:rPr>
          <w:rFonts w:hint="eastAsia" w:eastAsia="仿宋_GB2312"/>
          <w:sz w:val="32"/>
          <w:szCs w:val="32"/>
          <w:lang w:val="en-US" w:eastAsia="zh-CN"/>
        </w:rPr>
        <w:t>7</w:t>
      </w:r>
      <w:r>
        <w:rPr>
          <w:rFonts w:hint="default" w:eastAsia="仿宋_GB2312"/>
          <w:sz w:val="32"/>
          <w:szCs w:val="32"/>
        </w:rPr>
        <w:t>号</w:t>
      </w:r>
    </w:p>
    <w:p w14:paraId="160ACA95">
      <w:pPr>
        <w:spacing w:line="276" w:lineRule="auto"/>
        <w:jc w:val="center"/>
        <w:rPr>
          <w:rFonts w:hint="default" w:eastAsia="仿宋_GB2312"/>
          <w:szCs w:val="21"/>
        </w:rPr>
      </w:pPr>
    </w:p>
    <w:p w14:paraId="5B3B8783">
      <w:pPr>
        <w:spacing w:line="276" w:lineRule="auto"/>
        <w:jc w:val="center"/>
        <w:rPr>
          <w:rFonts w:hint="default" w:eastAsia="仿宋_GB2312"/>
          <w:szCs w:val="21"/>
        </w:rPr>
      </w:pPr>
    </w:p>
    <w:p w14:paraId="4D0F39BB">
      <w:pPr>
        <w:spacing w:line="240" w:lineRule="atLeast"/>
        <w:jc w:val="center"/>
        <w:rPr>
          <w:rFonts w:hint="default" w:eastAsia="微软简标宋"/>
          <w:sz w:val="44"/>
          <w:szCs w:val="44"/>
        </w:rPr>
      </w:pPr>
      <w:r>
        <w:rPr>
          <w:rFonts w:hint="default" w:eastAsia="微软简标宋"/>
          <w:sz w:val="44"/>
          <w:szCs w:val="44"/>
        </w:rPr>
        <w:t>西安市生态环境局临潼分局</w:t>
      </w:r>
    </w:p>
    <w:p w14:paraId="74A803C1">
      <w:pPr>
        <w:widowControl/>
        <w:jc w:val="center"/>
        <w:rPr>
          <w:rFonts w:hint="default" w:eastAsia="微软简标宋"/>
          <w:spacing w:val="-15"/>
          <w:sz w:val="44"/>
          <w:szCs w:val="44"/>
        </w:rPr>
      </w:pPr>
      <w:r>
        <w:rPr>
          <w:rFonts w:hint="default" w:eastAsia="微软简标宋"/>
          <w:spacing w:val="-15"/>
          <w:sz w:val="44"/>
          <w:szCs w:val="44"/>
        </w:rPr>
        <w:t>关于陕西临灞环保年产60万吨机制砂生产项目环境影响报告表的批复</w:t>
      </w:r>
    </w:p>
    <w:p w14:paraId="44809174">
      <w:pPr>
        <w:widowControl/>
        <w:snapToGrid w:val="0"/>
        <w:spacing w:before="120" w:line="276" w:lineRule="auto"/>
        <w:jc w:val="center"/>
        <w:rPr>
          <w:rFonts w:hint="default"/>
          <w:sz w:val="32"/>
          <w:szCs w:val="32"/>
        </w:rPr>
      </w:pPr>
    </w:p>
    <w:p w14:paraId="2710F0BF">
      <w:pPr>
        <w:widowControl/>
        <w:spacing w:line="560" w:lineRule="exact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陕西临灞环保产业有限公司：</w:t>
      </w:r>
    </w:p>
    <w:p w14:paraId="62F1B5FB">
      <w:pPr>
        <w:widowControl/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你</w:t>
      </w:r>
      <w:r>
        <w:rPr>
          <w:rFonts w:hint="eastAsia" w:eastAsia="仿宋_GB2312"/>
          <w:bCs/>
          <w:sz w:val="32"/>
          <w:szCs w:val="32"/>
          <w:lang w:val="en-US" w:eastAsia="zh-CN"/>
        </w:rPr>
        <w:t>公司</w:t>
      </w:r>
      <w:r>
        <w:rPr>
          <w:rFonts w:hint="default" w:eastAsia="仿宋_GB2312"/>
          <w:bCs/>
          <w:sz w:val="32"/>
          <w:szCs w:val="32"/>
        </w:rPr>
        <w:t>《陕西临灞环保年产60万吨机制砂生产项目环境影响报告表》（以下简称《报告表》）收悉，结合西安市环境保护科学研究院对《报告表》的技术评估意见（市评估函〔202</w:t>
      </w:r>
      <w:r>
        <w:rPr>
          <w:rFonts w:hint="eastAsia" w:eastAsia="仿宋_GB2312"/>
          <w:bCs/>
          <w:sz w:val="32"/>
          <w:szCs w:val="32"/>
          <w:lang w:val="en-US" w:eastAsia="zh-CN"/>
        </w:rPr>
        <w:t>5</w:t>
      </w:r>
      <w:r>
        <w:rPr>
          <w:rFonts w:hint="default" w:eastAsia="仿宋_GB2312"/>
          <w:bCs/>
          <w:sz w:val="32"/>
          <w:szCs w:val="32"/>
        </w:rPr>
        <w:t>〕</w:t>
      </w:r>
      <w:r>
        <w:rPr>
          <w:rFonts w:hint="eastAsia" w:eastAsia="仿宋_GB2312"/>
          <w:bCs/>
          <w:sz w:val="32"/>
          <w:szCs w:val="32"/>
          <w:lang w:val="en-US" w:eastAsia="zh-CN"/>
        </w:rPr>
        <w:t>64</w:t>
      </w:r>
      <w:r>
        <w:rPr>
          <w:rFonts w:hint="default" w:eastAsia="仿宋_GB2312"/>
          <w:bCs/>
          <w:sz w:val="32"/>
          <w:szCs w:val="32"/>
        </w:rPr>
        <w:t>号）</w:t>
      </w:r>
      <w:r>
        <w:rPr>
          <w:rFonts w:eastAsia="仿宋_GB2312"/>
          <w:bCs/>
          <w:sz w:val="32"/>
          <w:szCs w:val="32"/>
        </w:rPr>
        <w:t>，</w:t>
      </w:r>
      <w:r>
        <w:rPr>
          <w:rFonts w:hint="default" w:eastAsia="仿宋_GB2312"/>
          <w:bCs/>
          <w:sz w:val="32"/>
          <w:szCs w:val="32"/>
        </w:rPr>
        <w:t>经我局建设项目环评审查委员会审查后，批复如下：</w:t>
      </w:r>
      <w:r>
        <w:rPr>
          <w:rFonts w:eastAsia="仿宋_GB2312"/>
          <w:bCs/>
          <w:sz w:val="32"/>
          <w:szCs w:val="32"/>
        </w:rPr>
        <w:t xml:space="preserve"> </w:t>
      </w:r>
    </w:p>
    <w:p w14:paraId="487C053E">
      <w:pPr>
        <w:widowControl/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一、项目概况：</w:t>
      </w:r>
      <w:r>
        <w:rPr>
          <w:rFonts w:hint="default" w:eastAsia="仿宋_GB2312"/>
          <w:bCs/>
          <w:sz w:val="32"/>
          <w:szCs w:val="32"/>
          <w:lang w:val="en-US" w:eastAsia="zh-CN"/>
        </w:rPr>
        <w:t>项目</w:t>
      </w:r>
      <w:r>
        <w:rPr>
          <w:rFonts w:hint="eastAsia" w:eastAsia="仿宋_GB2312"/>
          <w:bCs/>
          <w:sz w:val="32"/>
          <w:szCs w:val="32"/>
          <w:lang w:val="en-US" w:eastAsia="zh-CN"/>
        </w:rPr>
        <w:t>总占地8666.71m</w:t>
      </w:r>
      <w:r>
        <w:rPr>
          <w:rFonts w:hint="eastAsia" w:eastAsia="仿宋_GB2312"/>
          <w:bCs/>
          <w:sz w:val="32"/>
          <w:szCs w:val="32"/>
          <w:vertAlign w:val="superscript"/>
          <w:lang w:val="en-US" w:eastAsia="zh-CN"/>
        </w:rPr>
        <w:t>2</w:t>
      </w:r>
      <w:r>
        <w:rPr>
          <w:rFonts w:hint="eastAsia" w:eastAsia="仿宋_GB2312"/>
          <w:bCs/>
          <w:sz w:val="32"/>
          <w:szCs w:val="32"/>
          <w:lang w:val="en-US" w:eastAsia="zh-CN"/>
        </w:rPr>
        <w:t>建设用地，主要购置设备给料机鄂破机、圆锥破碎机、制砂机、振动筛，捞砂机、脱水回收洗砂机、板框压滤机、装载机，原料为外购砂石，原料经过破碎、筛选、水洗、再筛选等加工工艺，建成后年产机制砂60万吨</w:t>
      </w:r>
      <w:r>
        <w:rPr>
          <w:rFonts w:hint="default" w:eastAsia="仿宋_GB2312"/>
          <w:bCs/>
          <w:sz w:val="32"/>
          <w:szCs w:val="32"/>
          <w:lang w:val="en-US" w:eastAsia="zh-CN"/>
        </w:rPr>
        <w:t>。</w:t>
      </w:r>
      <w:r>
        <w:rPr>
          <w:rFonts w:hint="default" w:eastAsia="仿宋_GB2312"/>
          <w:bCs/>
          <w:sz w:val="32"/>
          <w:szCs w:val="32"/>
        </w:rPr>
        <w:t>项目总投资</w:t>
      </w:r>
      <w:r>
        <w:rPr>
          <w:rFonts w:hint="eastAsia" w:eastAsia="仿宋_GB2312"/>
          <w:bCs/>
          <w:sz w:val="32"/>
          <w:szCs w:val="32"/>
          <w:lang w:val="en-US" w:eastAsia="zh-CN"/>
        </w:rPr>
        <w:t>100</w:t>
      </w:r>
      <w:r>
        <w:rPr>
          <w:rFonts w:hint="default" w:eastAsia="仿宋_GB2312"/>
          <w:bCs/>
          <w:sz w:val="32"/>
          <w:szCs w:val="32"/>
        </w:rPr>
        <w:t>万元，其中环保投资</w:t>
      </w:r>
      <w:r>
        <w:rPr>
          <w:rFonts w:hint="eastAsia" w:eastAsia="仿宋_GB2312"/>
          <w:bCs/>
          <w:sz w:val="32"/>
          <w:szCs w:val="32"/>
          <w:lang w:val="en-US" w:eastAsia="zh-CN"/>
        </w:rPr>
        <w:t>35</w:t>
      </w:r>
      <w:r>
        <w:rPr>
          <w:rFonts w:hint="default" w:eastAsia="仿宋_GB2312"/>
          <w:bCs/>
          <w:sz w:val="32"/>
          <w:szCs w:val="32"/>
        </w:rPr>
        <w:t>万元。</w:t>
      </w:r>
    </w:p>
    <w:p w14:paraId="289B71D8">
      <w:pPr>
        <w:tabs>
          <w:tab w:val="left" w:pos="5245"/>
        </w:tabs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二、经审查，项目在采取《报告表》所列的各项污染防治措施后，对环境的不利影响能够得到有效缓解和控制。</w:t>
      </w:r>
      <w:r>
        <w:rPr>
          <w:rFonts w:eastAsia="仿宋_GB2312"/>
          <w:bCs/>
          <w:sz w:val="32"/>
          <w:szCs w:val="32"/>
        </w:rPr>
        <w:t>我局同意该项目的环境影响评价总体结论和各项环境保护措施。</w:t>
      </w:r>
    </w:p>
    <w:p w14:paraId="1A3FC7DF">
      <w:pPr>
        <w:tabs>
          <w:tab w:val="left" w:pos="5245"/>
        </w:tabs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三、项目运行中应重点做好以下工作：</w:t>
      </w:r>
    </w:p>
    <w:p w14:paraId="780E7143">
      <w:pPr>
        <w:spacing w:line="560" w:lineRule="exact"/>
        <w:ind w:firstLine="640" w:firstLineChars="200"/>
        <w:rPr>
          <w:rFonts w:hint="eastAsia" w:eastAsia="仿宋_GB2312"/>
          <w:bCs/>
          <w:sz w:val="32"/>
          <w:szCs w:val="32"/>
          <w:lang w:eastAsia="zh-CN"/>
        </w:rPr>
      </w:pPr>
      <w:r>
        <w:rPr>
          <w:rFonts w:hint="default" w:eastAsia="仿宋_GB2312"/>
          <w:bCs/>
          <w:sz w:val="32"/>
          <w:szCs w:val="32"/>
        </w:rPr>
        <w:t>（一）严格落实大气污染防治措施。</w:t>
      </w:r>
      <w:r>
        <w:rPr>
          <w:rFonts w:hint="default" w:eastAsia="仿宋_GB2312"/>
          <w:bCs/>
          <w:sz w:val="32"/>
          <w:szCs w:val="32"/>
          <w:lang w:val="en-US" w:eastAsia="zh-CN"/>
        </w:rPr>
        <w:t>进料粉尘、鄂破和圆锥破碎扬尘经集气罩收集引至布袋除尘器处理</w:t>
      </w:r>
      <w:r>
        <w:rPr>
          <w:rFonts w:hint="eastAsia" w:eastAsia="仿宋_GB2312"/>
          <w:bCs/>
          <w:sz w:val="32"/>
          <w:szCs w:val="32"/>
          <w:lang w:val="en-US" w:eastAsia="zh-CN"/>
        </w:rPr>
        <w:t>后由</w:t>
      </w:r>
      <w:r>
        <w:rPr>
          <w:rFonts w:hint="default" w:eastAsia="仿宋_GB2312"/>
          <w:bCs/>
          <w:sz w:val="32"/>
          <w:szCs w:val="32"/>
          <w:lang w:val="en-US" w:eastAsia="zh-CN"/>
        </w:rPr>
        <w:t>15m排气筒（DA001）排放；物料密闭车间内存放，装卸料采用雾炮机喷雾降尘，砂石干料密闭皮带输送，道路进行洒水，车辆进出场洗轮，运输物料篷布遮盖</w:t>
      </w:r>
      <w:r>
        <w:rPr>
          <w:rFonts w:hint="eastAsia" w:eastAsia="仿宋_GB2312"/>
          <w:bCs/>
          <w:sz w:val="32"/>
          <w:szCs w:val="32"/>
          <w:lang w:val="en-US" w:eastAsia="zh-CN"/>
        </w:rPr>
        <w:t>，厂区围墙安装喷淋降尘系统</w:t>
      </w:r>
      <w:r>
        <w:rPr>
          <w:rFonts w:hint="eastAsia" w:eastAsia="仿宋_GB2312"/>
          <w:bCs/>
          <w:sz w:val="32"/>
          <w:szCs w:val="32"/>
          <w:lang w:eastAsia="zh-CN"/>
        </w:rPr>
        <w:t>。</w:t>
      </w:r>
    </w:p>
    <w:p w14:paraId="6C3802D7">
      <w:pPr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  <w:lang w:val="en-US" w:eastAsia="zh-CN"/>
        </w:rPr>
      </w:pPr>
      <w:r>
        <w:rPr>
          <w:rFonts w:hint="default" w:eastAsia="仿宋_GB2312"/>
          <w:bCs/>
          <w:sz w:val="32"/>
          <w:szCs w:val="32"/>
        </w:rPr>
        <w:t>（二）严格落实水污染防治措施。</w:t>
      </w:r>
      <w:r>
        <w:rPr>
          <w:rFonts w:hint="default" w:eastAsia="仿宋_GB2312"/>
          <w:bCs/>
          <w:sz w:val="32"/>
          <w:szCs w:val="32"/>
          <w:lang w:val="zh-TW" w:eastAsia="zh-CN"/>
        </w:rPr>
        <w:t>清洗废水经浓缩罐（总容积150m</w:t>
      </w:r>
      <w:r>
        <w:rPr>
          <w:rFonts w:hint="default" w:eastAsia="仿宋_GB2312"/>
          <w:bCs/>
          <w:sz w:val="32"/>
          <w:szCs w:val="32"/>
          <w:vertAlign w:val="superscript"/>
          <w:lang w:val="zh-TW" w:eastAsia="zh-CN"/>
        </w:rPr>
        <w:t>3</w:t>
      </w:r>
      <w:r>
        <w:rPr>
          <w:rFonts w:hint="default" w:eastAsia="仿宋_GB2312"/>
          <w:bCs/>
          <w:sz w:val="32"/>
          <w:szCs w:val="32"/>
          <w:lang w:val="zh-TW" w:eastAsia="zh-CN"/>
        </w:rPr>
        <w:t>）处理后排入清水池（总容积150m</w:t>
      </w:r>
      <w:r>
        <w:rPr>
          <w:rFonts w:hint="default" w:eastAsia="仿宋_GB2312"/>
          <w:bCs/>
          <w:sz w:val="32"/>
          <w:szCs w:val="32"/>
          <w:vertAlign w:val="superscript"/>
          <w:lang w:val="zh-TW" w:eastAsia="zh-CN"/>
        </w:rPr>
        <w:t>3</w:t>
      </w:r>
      <w:r>
        <w:rPr>
          <w:rFonts w:hint="default" w:eastAsia="仿宋_GB2312"/>
          <w:bCs/>
          <w:sz w:val="32"/>
          <w:szCs w:val="32"/>
          <w:lang w:val="zh-TW" w:eastAsia="zh-CN"/>
        </w:rPr>
        <w:t>）循环利用，洗车废水</w:t>
      </w:r>
      <w:r>
        <w:rPr>
          <w:rFonts w:hint="default" w:eastAsia="仿宋_GB2312"/>
          <w:bCs/>
          <w:sz w:val="32"/>
          <w:szCs w:val="32"/>
          <w:lang w:val="en-US" w:eastAsia="zh-CN"/>
        </w:rPr>
        <w:t>经沉淀池（20m</w:t>
      </w:r>
      <w:r>
        <w:rPr>
          <w:rFonts w:hint="default" w:eastAsia="仿宋_GB2312"/>
          <w:bCs/>
          <w:sz w:val="32"/>
          <w:szCs w:val="32"/>
          <w:vertAlign w:val="superscript"/>
          <w:lang w:val="en-US" w:eastAsia="zh-CN"/>
        </w:rPr>
        <w:t>3</w:t>
      </w:r>
      <w:r>
        <w:rPr>
          <w:rFonts w:hint="default" w:eastAsia="仿宋_GB2312"/>
          <w:bCs/>
          <w:sz w:val="32"/>
          <w:szCs w:val="32"/>
          <w:lang w:val="en-US" w:eastAsia="zh-CN"/>
        </w:rPr>
        <w:t>）沉淀后循环使用</w:t>
      </w:r>
      <w:r>
        <w:rPr>
          <w:rFonts w:hint="default" w:eastAsia="仿宋_GB2312"/>
          <w:bCs/>
          <w:sz w:val="32"/>
          <w:szCs w:val="32"/>
          <w:lang w:val="zh-TW" w:eastAsia="zh-CN"/>
        </w:rPr>
        <w:t>；</w:t>
      </w:r>
      <w:r>
        <w:rPr>
          <w:rFonts w:hint="default" w:eastAsia="仿宋_GB2312"/>
          <w:bCs/>
          <w:sz w:val="32"/>
          <w:szCs w:val="32"/>
          <w:lang w:val="en-US" w:eastAsia="zh-CN"/>
        </w:rPr>
        <w:t>生活污水依托租赁厂房已建化粪池收集，定期由农户清掏，用作堆肥</w:t>
      </w:r>
      <w:r>
        <w:rPr>
          <w:rFonts w:hint="eastAsia" w:eastAsia="仿宋_GB2312"/>
          <w:bCs/>
          <w:sz w:val="32"/>
          <w:szCs w:val="32"/>
          <w:lang w:val="en-US" w:eastAsia="zh-CN"/>
        </w:rPr>
        <w:t>。</w:t>
      </w:r>
    </w:p>
    <w:p w14:paraId="1E230259">
      <w:pPr>
        <w:tabs>
          <w:tab w:val="left" w:pos="5245"/>
        </w:tabs>
        <w:spacing w:line="560" w:lineRule="exact"/>
        <w:ind w:firstLine="640" w:firstLineChars="200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（三）</w:t>
      </w:r>
      <w:r>
        <w:rPr>
          <w:rFonts w:hint="default" w:eastAsia="仿宋_GB2312"/>
          <w:sz w:val="32"/>
          <w:szCs w:val="32"/>
        </w:rPr>
        <w:t>优化厂区平面布置</w:t>
      </w:r>
      <w:r>
        <w:rPr>
          <w:rFonts w:hint="eastAsia" w:eastAsia="仿宋_GB2312"/>
          <w:sz w:val="32"/>
          <w:szCs w:val="32"/>
          <w:lang w:eastAsia="zh-CN"/>
        </w:rPr>
        <w:t>。选用低噪声设备，安装基础减振、隔声措施，进行合理布局，高噪声设备均布置在车间内，经厂房隔声、距离衰减等降噪措施</w:t>
      </w:r>
      <w:r>
        <w:rPr>
          <w:rFonts w:eastAsia="仿宋_GB2312"/>
          <w:bCs/>
          <w:sz w:val="32"/>
          <w:szCs w:val="32"/>
        </w:rPr>
        <w:t>。</w:t>
      </w:r>
    </w:p>
    <w:p w14:paraId="3D34F404">
      <w:pPr>
        <w:widowControl/>
        <w:adjustRightInd w:val="0"/>
        <w:snapToGrid w:val="0"/>
        <w:spacing w:line="56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（四）合规处置各类固体废物。危险废物分类收集贮存，委托有资质单位处置；一般工业固体废物合规处置；生活垃圾分类收集，由环卫部门及时清运</w:t>
      </w:r>
      <w:r>
        <w:rPr>
          <w:rFonts w:eastAsia="仿宋_GB2312"/>
          <w:bCs/>
          <w:sz w:val="32"/>
          <w:szCs w:val="32"/>
        </w:rPr>
        <w:t>。</w:t>
      </w:r>
    </w:p>
    <w:p w14:paraId="637DD634">
      <w:pPr>
        <w:pStyle w:val="5"/>
        <w:adjustRightInd w:val="0"/>
        <w:snapToGrid w:val="0"/>
        <w:spacing w:after="0" w:line="576" w:lineRule="exact"/>
        <w:ind w:firstLine="640" w:firstLineChars="200"/>
        <w:rPr>
          <w:rFonts w:hint="default" w:eastAsia="仿宋_GB2312"/>
          <w:bCs/>
          <w:sz w:val="32"/>
          <w:szCs w:val="32"/>
          <w:lang w:val="en-US" w:eastAsia="zh-CN"/>
        </w:rPr>
      </w:pPr>
      <w:r>
        <w:rPr>
          <w:rFonts w:eastAsia="仿宋_GB2312"/>
          <w:bCs/>
          <w:sz w:val="32"/>
          <w:szCs w:val="32"/>
        </w:rPr>
        <w:t>四、</w:t>
      </w:r>
      <w:r>
        <w:rPr>
          <w:rFonts w:hint="default" w:eastAsia="仿宋_GB2312"/>
          <w:bCs/>
          <w:sz w:val="32"/>
          <w:szCs w:val="32"/>
        </w:rPr>
        <w:t>项目在建设过程中，你</w:t>
      </w:r>
      <w:r>
        <w:rPr>
          <w:rFonts w:hint="eastAsia" w:eastAsia="仿宋_GB2312"/>
          <w:bCs/>
          <w:sz w:val="32"/>
          <w:szCs w:val="32"/>
          <w:lang w:val="en-US" w:eastAsia="zh-CN"/>
        </w:rPr>
        <w:t>公司</w:t>
      </w:r>
      <w:r>
        <w:rPr>
          <w:rFonts w:hint="default" w:eastAsia="仿宋_GB2312"/>
          <w:bCs/>
          <w:sz w:val="32"/>
          <w:szCs w:val="32"/>
        </w:rPr>
        <w:t>应严格执行环保</w:t>
      </w:r>
      <w:r>
        <w:rPr>
          <w:rFonts w:eastAsia="仿宋_GB2312"/>
          <w:bCs/>
          <w:sz w:val="32"/>
          <w:szCs w:val="32"/>
        </w:rPr>
        <w:t>“</w:t>
      </w:r>
      <w:r>
        <w:rPr>
          <w:rFonts w:hint="default" w:eastAsia="仿宋_GB2312"/>
          <w:bCs/>
          <w:sz w:val="32"/>
          <w:szCs w:val="32"/>
        </w:rPr>
        <w:t>三同时</w:t>
      </w:r>
      <w:r>
        <w:rPr>
          <w:rFonts w:eastAsia="仿宋_GB2312"/>
          <w:bCs/>
          <w:sz w:val="32"/>
          <w:szCs w:val="32"/>
        </w:rPr>
        <w:t>”</w:t>
      </w:r>
      <w:r>
        <w:rPr>
          <w:rFonts w:hint="default" w:eastAsia="仿宋_GB2312"/>
          <w:bCs/>
          <w:sz w:val="32"/>
          <w:szCs w:val="32"/>
        </w:rPr>
        <w:t>制度。项目建成后</w:t>
      </w:r>
      <w:r>
        <w:rPr>
          <w:rFonts w:hint="eastAsia" w:eastAsia="仿宋_GB2312"/>
          <w:bCs/>
          <w:sz w:val="32"/>
          <w:szCs w:val="32"/>
          <w:lang w:val="en-US" w:eastAsia="zh-CN"/>
        </w:rPr>
        <w:t>严禁使用建筑垃圾作为原辅材料，</w:t>
      </w:r>
      <w:r>
        <w:rPr>
          <w:rFonts w:hint="default" w:eastAsia="仿宋_GB2312"/>
          <w:bCs/>
          <w:sz w:val="32"/>
          <w:szCs w:val="32"/>
        </w:rPr>
        <w:t>应按要求和规定程序办理排污许可手</w:t>
      </w:r>
      <w:bookmarkStart w:id="0" w:name="_GoBack"/>
      <w:bookmarkEnd w:id="0"/>
      <w:r>
        <w:rPr>
          <w:rFonts w:hint="default" w:eastAsia="仿宋_GB2312"/>
          <w:bCs/>
          <w:sz w:val="32"/>
          <w:szCs w:val="32"/>
        </w:rPr>
        <w:t>续和开展竣工环境保护验收</w:t>
      </w:r>
      <w:r>
        <w:rPr>
          <w:rFonts w:hint="eastAsia" w:eastAsia="仿宋_GB2312"/>
          <w:bCs/>
          <w:sz w:val="32"/>
          <w:szCs w:val="32"/>
          <w:lang w:eastAsia="zh-CN"/>
        </w:rPr>
        <w:t>，</w:t>
      </w:r>
      <w:r>
        <w:rPr>
          <w:rFonts w:hint="default" w:eastAsia="仿宋_GB2312"/>
          <w:bCs/>
          <w:sz w:val="32"/>
          <w:szCs w:val="32"/>
        </w:rPr>
        <w:t>并制定重点污染天气应急预案，按要求落实。</w:t>
      </w:r>
    </w:p>
    <w:p w14:paraId="35B4C34D">
      <w:pPr>
        <w:spacing w:line="576" w:lineRule="exact"/>
        <w:ind w:firstLine="4160" w:firstLineChars="1300"/>
        <w:jc w:val="left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西安市生态环境局临潼分局</w:t>
      </w:r>
    </w:p>
    <w:tbl>
      <w:tblPr>
        <w:tblStyle w:val="6"/>
        <w:tblpPr w:leftFromText="180" w:rightFromText="180" w:vertAnchor="text" w:horzAnchor="page" w:tblpX="1631" w:tblpY="860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 w14:paraId="565057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0" w:type="dxa"/>
            <w:tcBorders>
              <w:left w:val="nil"/>
              <w:right w:val="nil"/>
            </w:tcBorders>
          </w:tcPr>
          <w:p w14:paraId="10F6D66C">
            <w:pPr>
              <w:autoSpaceDN w:val="0"/>
              <w:spacing w:line="520" w:lineRule="exact"/>
              <w:rPr>
                <w:rFonts w:hint="default" w:eastAsia="仿宋"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hAnsi="仿宋" w:eastAsia="仿宋"/>
                <w:bCs/>
                <w:sz w:val="32"/>
                <w:szCs w:val="32"/>
              </w:rPr>
              <w:t>抄送：</w:t>
            </w:r>
            <w:r>
              <w:rPr>
                <w:rFonts w:hAnsi="仿宋" w:eastAsia="仿宋"/>
                <w:bCs/>
                <w:sz w:val="32"/>
                <w:szCs w:val="32"/>
              </w:rPr>
              <w:t>西安市生态环境保护综合执法支队临潼大队、陕西省现代建筑设计研究院有限公司</w:t>
            </w:r>
          </w:p>
        </w:tc>
      </w:tr>
    </w:tbl>
    <w:p w14:paraId="690EA8D4">
      <w:pPr>
        <w:spacing w:line="576" w:lineRule="exact"/>
        <w:ind w:firstLine="4960" w:firstLineChars="1550"/>
        <w:jc w:val="left"/>
        <w:rPr>
          <w:rFonts w:hint="default" w:eastAsia="仿宋_GB2312"/>
          <w:bCs/>
          <w:sz w:val="32"/>
          <w:szCs w:val="32"/>
        </w:rPr>
      </w:pPr>
      <w:r>
        <w:rPr>
          <w:rFonts w:hint="default" w:eastAsia="仿宋_GB2312"/>
          <w:bCs/>
          <w:sz w:val="32"/>
          <w:szCs w:val="32"/>
        </w:rPr>
        <w:t>20</w:t>
      </w:r>
      <w:r>
        <w:rPr>
          <w:rFonts w:eastAsia="仿宋_GB2312"/>
          <w:bCs/>
          <w:sz w:val="32"/>
          <w:szCs w:val="32"/>
        </w:rPr>
        <w:t>2</w:t>
      </w:r>
      <w:r>
        <w:rPr>
          <w:rFonts w:hint="eastAsia" w:eastAsia="仿宋_GB2312"/>
          <w:bCs/>
          <w:sz w:val="32"/>
          <w:szCs w:val="32"/>
          <w:lang w:val="en-US" w:eastAsia="zh-CN"/>
        </w:rPr>
        <w:t>5</w:t>
      </w:r>
      <w:r>
        <w:rPr>
          <w:rFonts w:hint="default" w:eastAsia="仿宋_GB2312"/>
          <w:bCs/>
          <w:sz w:val="32"/>
          <w:szCs w:val="32"/>
        </w:rPr>
        <w:t>年</w:t>
      </w:r>
      <w:r>
        <w:rPr>
          <w:rFonts w:hint="eastAsia" w:eastAsia="仿宋_GB2312"/>
          <w:bCs/>
          <w:sz w:val="32"/>
          <w:szCs w:val="32"/>
          <w:lang w:val="en-US" w:eastAsia="zh-CN"/>
        </w:rPr>
        <w:t>5</w:t>
      </w:r>
      <w:r>
        <w:rPr>
          <w:rFonts w:hint="default" w:eastAsia="仿宋_GB2312"/>
          <w:bCs/>
          <w:sz w:val="32"/>
          <w:szCs w:val="32"/>
        </w:rPr>
        <w:t>月</w:t>
      </w:r>
      <w:r>
        <w:rPr>
          <w:rFonts w:hint="eastAsia" w:eastAsia="仿宋_GB2312"/>
          <w:bCs/>
          <w:sz w:val="32"/>
          <w:szCs w:val="32"/>
          <w:lang w:val="en-US" w:eastAsia="zh-CN"/>
        </w:rPr>
        <w:t>28</w:t>
      </w:r>
      <w:r>
        <w:rPr>
          <w:rFonts w:hint="default" w:eastAsia="仿宋_GB2312"/>
          <w:bCs/>
          <w:sz w:val="32"/>
          <w:szCs w:val="32"/>
        </w:rPr>
        <w:t>日</w:t>
      </w:r>
    </w:p>
    <w:sectPr>
      <w:footerReference r:id="rId3" w:type="default"/>
      <w:pgSz w:w="11906" w:h="16838"/>
      <w:pgMar w:top="1417" w:right="1644" w:bottom="1440" w:left="1644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简标宋"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28D90C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B9183C7">
                          <w:pPr>
                            <w:pStyle w:val="3"/>
                          </w:pPr>
                          <w:r>
                            <w:rPr>
                              <w:sz w:val="30"/>
                              <w:szCs w:val="30"/>
                            </w:rPr>
                            <w:t xml:space="preserve">— </w:t>
                          </w:r>
                          <w:r>
                            <w:rPr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sz w:val="30"/>
                              <w:szCs w:val="30"/>
                            </w:rPr>
                            <w:t>1</w:t>
                          </w:r>
                          <w:r>
                            <w:rPr>
                              <w:sz w:val="30"/>
                              <w:szCs w:val="30"/>
                            </w:rPr>
                            <w:fldChar w:fldCharType="end"/>
                          </w:r>
                          <w:r>
                            <w:rPr>
                              <w:sz w:val="30"/>
                              <w:szCs w:val="30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B9183C7">
                    <w:pPr>
                      <w:pStyle w:val="3"/>
                    </w:pPr>
                    <w:r>
                      <w:rPr>
                        <w:sz w:val="30"/>
                        <w:szCs w:val="30"/>
                      </w:rPr>
                      <w:t xml:space="preserve">— </w:t>
                    </w:r>
                    <w:r>
                      <w:rPr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sz w:val="30"/>
                        <w:szCs w:val="30"/>
                      </w:rPr>
                      <w:t>1</w:t>
                    </w:r>
                    <w:r>
                      <w:rPr>
                        <w:sz w:val="30"/>
                        <w:szCs w:val="30"/>
                      </w:rPr>
                      <w:fldChar w:fldCharType="end"/>
                    </w:r>
                    <w:r>
                      <w:rPr>
                        <w:sz w:val="30"/>
                        <w:szCs w:val="3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1E1E07"/>
    <w:rsid w:val="0F58051A"/>
    <w:rsid w:val="142F698D"/>
    <w:rsid w:val="511E1E07"/>
    <w:rsid w:val="58815B21"/>
    <w:rsid w:val="79DC4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Body Text First Indent"/>
    <w:basedOn w:val="2"/>
    <w:qFormat/>
    <w:uiPriority w:val="0"/>
    <w:pPr>
      <w:spacing w:after="120"/>
      <w:ind w:firstLine="420" w:firstLineChars="100"/>
      <w:jc w:val="both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895</Words>
  <Characters>937</Characters>
  <Lines>0</Lines>
  <Paragraphs>0</Paragraphs>
  <TotalTime>12</TotalTime>
  <ScaleCrop>false</ScaleCrop>
  <LinksUpToDate>false</LinksUpToDate>
  <CharactersWithSpaces>968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2025-05-15T02:09:00Z</dcterms:created>
  <dc:creator>离羽</dc:creator>
  <cp:lastModifiedBy>离羽</cp:lastModifiedBy>
  <cp:lastPrinted>2025-05-28T01:13:02Z</cp:lastPrinted>
  <dcterms:modified xsi:type="dcterms:W3CDTF">2025-05-28T01:13:10Z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E9A5F46524EA4DE2AB8D6FA8ABF50AA7_11</vt:lpwstr>
  </property>
  <property fmtid="{D5CDD505-2E9C-101B-9397-08002B2CF9AE}" pid="4" name="KSOTemplateDocerSaveRecord">
    <vt:lpwstr>eyJoZGlkIjoiYWU2NTY5MzQ5NzBlMGY0YWRjYTAzNmQyMjFjOTRmNmEiLCJ1c2VySWQiOiI5NjUwNDA1NTkifQ==</vt:lpwstr>
  </property>
</Properties>
</file>