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0FAF10">
      <w:pPr>
        <w:spacing w:line="276" w:lineRule="auto"/>
        <w:jc w:val="center"/>
        <w:rPr>
          <w:rFonts w:hint="default" w:eastAsia="仿宋_GB2312"/>
          <w:sz w:val="36"/>
          <w:szCs w:val="36"/>
        </w:rPr>
      </w:pPr>
    </w:p>
    <w:p w14:paraId="49104F11">
      <w:pPr>
        <w:spacing w:line="360" w:lineRule="auto"/>
        <w:jc w:val="center"/>
        <w:rPr>
          <w:rFonts w:hint="default" w:eastAsia="仿宋_GB2312"/>
          <w:sz w:val="36"/>
          <w:szCs w:val="36"/>
          <w:lang w:val="en-US" w:eastAsia="zh-CN"/>
        </w:rPr>
      </w:pPr>
      <w:r>
        <w:rPr>
          <w:rFonts w:hint="eastAsia" w:eastAsia="仿宋_GB2312"/>
          <w:sz w:val="36"/>
          <w:szCs w:val="36"/>
          <w:lang w:val="en-US" w:eastAsia="zh-CN"/>
        </w:rPr>
        <w:t xml:space="preserve">       </w:t>
      </w:r>
    </w:p>
    <w:p w14:paraId="10E58B39">
      <w:pPr>
        <w:snapToGrid w:val="0"/>
        <w:spacing w:afterLines="50" w:line="360" w:lineRule="auto"/>
        <w:jc w:val="center"/>
        <w:rPr>
          <w:rFonts w:hint="default" w:eastAsia="仿宋_GB2312"/>
          <w:sz w:val="44"/>
          <w:szCs w:val="44"/>
        </w:rPr>
      </w:pPr>
    </w:p>
    <w:p w14:paraId="61AB49A6">
      <w:pPr>
        <w:snapToGrid w:val="0"/>
        <w:spacing w:afterLines="50" w:line="300" w:lineRule="auto"/>
        <w:jc w:val="center"/>
        <w:rPr>
          <w:rFonts w:hint="default" w:eastAsia="仿宋_GB2312"/>
          <w:sz w:val="28"/>
          <w:szCs w:val="28"/>
        </w:rPr>
      </w:pPr>
    </w:p>
    <w:p w14:paraId="6BA38915">
      <w:pPr>
        <w:snapToGrid w:val="0"/>
        <w:spacing w:line="240" w:lineRule="atLeast"/>
        <w:jc w:val="center"/>
        <w:rPr>
          <w:rFonts w:hint="default" w:eastAsia="仿宋_GB2312"/>
          <w:szCs w:val="21"/>
        </w:rPr>
      </w:pPr>
      <w:r>
        <w:rPr>
          <w:rFonts w:eastAsia="仿宋_GB2312"/>
          <w:sz w:val="44"/>
          <w:szCs w:val="44"/>
        </w:rPr>
        <w:t xml:space="preserve">                    </w:t>
      </w:r>
      <w:r>
        <w:rPr>
          <w:rFonts w:hint="default" w:eastAsia="仿宋_GB2312"/>
          <w:sz w:val="44"/>
          <w:szCs w:val="44"/>
        </w:rPr>
        <w:t xml:space="preserve"> </w:t>
      </w:r>
      <w:r>
        <w:rPr>
          <w:rFonts w:eastAsia="仿宋_GB2312"/>
          <w:sz w:val="44"/>
          <w:szCs w:val="44"/>
        </w:rPr>
        <w:t xml:space="preserve">  </w:t>
      </w:r>
      <w:r>
        <w:rPr>
          <w:rFonts w:hint="default" w:eastAsia="仿宋_GB2312"/>
          <w:sz w:val="32"/>
          <w:szCs w:val="32"/>
        </w:rPr>
        <w:t>临环评批复〔20</w:t>
      </w:r>
      <w:r>
        <w:rPr>
          <w:rFonts w:eastAsia="仿宋_GB2312"/>
          <w:sz w:val="32"/>
          <w:szCs w:val="32"/>
        </w:rPr>
        <w:t>2</w:t>
      </w:r>
      <w:r>
        <w:rPr>
          <w:rFonts w:hint="eastAsia" w:eastAsia="仿宋_GB2312"/>
          <w:sz w:val="32"/>
          <w:szCs w:val="32"/>
          <w:lang w:val="en-US" w:eastAsia="zh-CN"/>
        </w:rPr>
        <w:t>5</w:t>
      </w:r>
      <w:r>
        <w:rPr>
          <w:rFonts w:hint="default" w:eastAsia="仿宋_GB2312"/>
          <w:sz w:val="32"/>
          <w:szCs w:val="32"/>
        </w:rPr>
        <w:t>〕</w:t>
      </w:r>
      <w:r>
        <w:rPr>
          <w:rFonts w:hint="eastAsia" w:eastAsia="仿宋_GB2312"/>
          <w:sz w:val="32"/>
          <w:szCs w:val="32"/>
          <w:lang w:val="en-US" w:eastAsia="zh-CN"/>
        </w:rPr>
        <w:t>12</w:t>
      </w:r>
      <w:r>
        <w:rPr>
          <w:rFonts w:hint="default" w:eastAsia="仿宋_GB2312"/>
          <w:sz w:val="32"/>
          <w:szCs w:val="32"/>
        </w:rPr>
        <w:t>号</w:t>
      </w:r>
    </w:p>
    <w:p w14:paraId="160ACA95">
      <w:pPr>
        <w:spacing w:line="276" w:lineRule="auto"/>
        <w:jc w:val="center"/>
        <w:rPr>
          <w:rFonts w:hint="default" w:eastAsia="仿宋_GB2312"/>
          <w:szCs w:val="21"/>
        </w:rPr>
      </w:pPr>
    </w:p>
    <w:p w14:paraId="5B3B8783">
      <w:pPr>
        <w:spacing w:line="276" w:lineRule="auto"/>
        <w:jc w:val="center"/>
        <w:rPr>
          <w:rFonts w:hint="default" w:eastAsia="仿宋_GB2312"/>
          <w:szCs w:val="21"/>
        </w:rPr>
      </w:pPr>
    </w:p>
    <w:p w14:paraId="4D0F39BB">
      <w:pPr>
        <w:spacing w:line="240" w:lineRule="atLeast"/>
        <w:jc w:val="center"/>
        <w:rPr>
          <w:rFonts w:hint="default" w:eastAsia="微软简标宋"/>
          <w:sz w:val="44"/>
          <w:szCs w:val="44"/>
        </w:rPr>
      </w:pPr>
      <w:r>
        <w:rPr>
          <w:rFonts w:hint="default" w:eastAsia="微软简标宋"/>
          <w:sz w:val="44"/>
          <w:szCs w:val="44"/>
        </w:rPr>
        <w:t>西安市生态环境局临潼分局</w:t>
      </w:r>
    </w:p>
    <w:p w14:paraId="74A803C1">
      <w:pPr>
        <w:widowControl/>
        <w:jc w:val="center"/>
        <w:rPr>
          <w:rFonts w:hint="default" w:eastAsia="微软简标宋"/>
          <w:spacing w:val="-15"/>
          <w:sz w:val="44"/>
          <w:szCs w:val="44"/>
        </w:rPr>
      </w:pPr>
      <w:bookmarkStart w:id="0" w:name="_GoBack"/>
      <w:r>
        <w:rPr>
          <w:rFonts w:hint="default" w:eastAsia="微软简标宋"/>
          <w:spacing w:val="-15"/>
          <w:sz w:val="44"/>
          <w:szCs w:val="44"/>
        </w:rPr>
        <w:t>关于西安坤得宁建筑材料制造有限公司年产30万平方米一体化复合免拆保温模板项目环境影响报告表的批复</w:t>
      </w:r>
      <w:bookmarkEnd w:id="0"/>
    </w:p>
    <w:p w14:paraId="44809174">
      <w:pPr>
        <w:widowControl/>
        <w:snapToGrid w:val="0"/>
        <w:spacing w:before="120" w:line="276" w:lineRule="auto"/>
        <w:jc w:val="center"/>
        <w:rPr>
          <w:rFonts w:hint="default"/>
          <w:sz w:val="32"/>
          <w:szCs w:val="32"/>
        </w:rPr>
      </w:pPr>
    </w:p>
    <w:p w14:paraId="2710F0BF">
      <w:pPr>
        <w:widowControl/>
        <w:spacing w:line="560" w:lineRule="exact"/>
        <w:rPr>
          <w:rFonts w:hint="default" w:eastAsia="仿宋_GB2312"/>
          <w:bCs/>
          <w:sz w:val="32"/>
          <w:szCs w:val="32"/>
        </w:rPr>
      </w:pPr>
      <w:r>
        <w:rPr>
          <w:rFonts w:hint="default" w:eastAsia="仿宋_GB2312"/>
          <w:bCs/>
          <w:sz w:val="32"/>
          <w:szCs w:val="32"/>
        </w:rPr>
        <w:t>西安坤得宁建筑材料制造有限公司：</w:t>
      </w:r>
    </w:p>
    <w:p w14:paraId="62F1B5FB">
      <w:pPr>
        <w:widowControl/>
        <w:spacing w:line="560" w:lineRule="exact"/>
        <w:ind w:firstLine="640" w:firstLineChars="200"/>
        <w:rPr>
          <w:rFonts w:hint="default" w:eastAsia="仿宋_GB2312"/>
          <w:bCs/>
          <w:sz w:val="32"/>
          <w:szCs w:val="32"/>
        </w:rPr>
      </w:pPr>
      <w:r>
        <w:rPr>
          <w:rFonts w:hint="default" w:eastAsia="仿宋_GB2312"/>
          <w:bCs/>
          <w:sz w:val="32"/>
          <w:szCs w:val="32"/>
        </w:rPr>
        <w:t>你</w:t>
      </w:r>
      <w:r>
        <w:rPr>
          <w:rFonts w:hint="eastAsia" w:eastAsia="仿宋_GB2312"/>
          <w:bCs/>
          <w:sz w:val="32"/>
          <w:szCs w:val="32"/>
          <w:lang w:val="en-US" w:eastAsia="zh-CN"/>
        </w:rPr>
        <w:t>公司</w:t>
      </w:r>
      <w:r>
        <w:rPr>
          <w:rFonts w:hint="default" w:eastAsia="仿宋_GB2312"/>
          <w:bCs/>
          <w:sz w:val="32"/>
          <w:szCs w:val="32"/>
        </w:rPr>
        <w:t>《西安坤得宁建筑材料制造有限公司年产30万平方米一体化复合免拆保温模板项目环境影响报告表》（以下简称《报告表》）收悉，结合西安市环境保护科学研究院对《报告表》的技术评估意见（市评估函〔202</w:t>
      </w:r>
      <w:r>
        <w:rPr>
          <w:rFonts w:hint="default" w:eastAsia="仿宋_GB2312"/>
          <w:bCs/>
          <w:sz w:val="32"/>
          <w:szCs w:val="32"/>
          <w:lang w:val="en-US" w:eastAsia="zh-CN"/>
        </w:rPr>
        <w:t>5</w:t>
      </w:r>
      <w:r>
        <w:rPr>
          <w:rFonts w:hint="default" w:eastAsia="仿宋_GB2312"/>
          <w:bCs/>
          <w:sz w:val="32"/>
          <w:szCs w:val="32"/>
        </w:rPr>
        <w:t>〕</w:t>
      </w:r>
      <w:r>
        <w:rPr>
          <w:rFonts w:hint="default" w:eastAsia="仿宋_GB2312"/>
          <w:bCs/>
          <w:sz w:val="32"/>
          <w:szCs w:val="32"/>
          <w:lang w:val="en-US" w:eastAsia="zh-CN"/>
        </w:rPr>
        <w:t>1</w:t>
      </w:r>
      <w:r>
        <w:rPr>
          <w:rFonts w:hint="eastAsia" w:eastAsia="仿宋_GB2312"/>
          <w:bCs/>
          <w:sz w:val="32"/>
          <w:szCs w:val="32"/>
          <w:lang w:val="en-US" w:eastAsia="zh-CN"/>
        </w:rPr>
        <w:t>38</w:t>
      </w:r>
      <w:r>
        <w:rPr>
          <w:rFonts w:hint="default" w:eastAsia="仿宋_GB2312"/>
          <w:bCs/>
          <w:sz w:val="32"/>
          <w:szCs w:val="32"/>
        </w:rPr>
        <w:t>号）</w:t>
      </w:r>
      <w:r>
        <w:rPr>
          <w:rFonts w:eastAsia="仿宋_GB2312"/>
          <w:bCs/>
          <w:sz w:val="32"/>
          <w:szCs w:val="32"/>
        </w:rPr>
        <w:t>，</w:t>
      </w:r>
      <w:r>
        <w:rPr>
          <w:rFonts w:hint="default" w:eastAsia="仿宋_GB2312"/>
          <w:bCs/>
          <w:sz w:val="32"/>
          <w:szCs w:val="32"/>
        </w:rPr>
        <w:t>经我局建设项目环评审查委员会审查后，批复如下：</w:t>
      </w:r>
      <w:r>
        <w:rPr>
          <w:rFonts w:eastAsia="仿宋_GB2312"/>
          <w:bCs/>
          <w:sz w:val="32"/>
          <w:szCs w:val="32"/>
        </w:rPr>
        <w:t xml:space="preserve"> </w:t>
      </w:r>
    </w:p>
    <w:p w14:paraId="487C053E">
      <w:pPr>
        <w:widowControl/>
        <w:spacing w:line="560" w:lineRule="exact"/>
        <w:ind w:firstLine="640" w:firstLineChars="200"/>
        <w:rPr>
          <w:rFonts w:hint="default" w:eastAsia="仿宋_GB2312"/>
          <w:bCs/>
          <w:sz w:val="32"/>
          <w:szCs w:val="32"/>
        </w:rPr>
      </w:pPr>
      <w:r>
        <w:rPr>
          <w:rFonts w:hint="default" w:eastAsia="仿宋_GB2312"/>
          <w:bCs/>
          <w:sz w:val="32"/>
          <w:szCs w:val="32"/>
        </w:rPr>
        <w:t>一、项目概况：项目租用厂房，建筑面积10000m</w:t>
      </w:r>
      <w:r>
        <w:rPr>
          <w:rFonts w:hint="default" w:eastAsia="仿宋_GB2312"/>
          <w:bCs/>
          <w:sz w:val="32"/>
          <w:szCs w:val="32"/>
          <w:vertAlign w:val="superscript"/>
        </w:rPr>
        <w:t>2</w:t>
      </w:r>
      <w:r>
        <w:rPr>
          <w:rFonts w:hint="default" w:eastAsia="仿宋_GB2312"/>
          <w:bCs/>
          <w:sz w:val="32"/>
          <w:szCs w:val="32"/>
        </w:rPr>
        <w:t>，建设一体化复合免拆保温模板生产线，原料：水泥、沙子、粉煤灰、挤（模）塑板/岩棉条等，购置输送螺旋、搅拌机、切割机等生产设备，主要工艺：混合搅拌、整平、切割、打孔等，项目建成后年产一体化复合免拆保温模板30万m</w:t>
      </w:r>
      <w:r>
        <w:rPr>
          <w:rFonts w:hint="default" w:eastAsia="仿宋_GB2312"/>
          <w:bCs/>
          <w:sz w:val="32"/>
          <w:szCs w:val="32"/>
          <w:vertAlign w:val="superscript"/>
        </w:rPr>
        <w:t>2</w:t>
      </w:r>
      <w:r>
        <w:rPr>
          <w:rFonts w:hint="default" w:eastAsia="仿宋_GB2312"/>
          <w:bCs/>
          <w:sz w:val="32"/>
          <w:szCs w:val="32"/>
          <w:lang w:val="en-US" w:eastAsia="zh-CN"/>
        </w:rPr>
        <w:t>。</w:t>
      </w:r>
      <w:r>
        <w:rPr>
          <w:rFonts w:hint="default" w:eastAsia="仿宋_GB2312"/>
          <w:bCs/>
          <w:sz w:val="32"/>
          <w:szCs w:val="32"/>
        </w:rPr>
        <w:t>项目总投资</w:t>
      </w:r>
      <w:r>
        <w:rPr>
          <w:rFonts w:hint="eastAsia" w:eastAsia="仿宋_GB2312"/>
          <w:bCs/>
          <w:sz w:val="32"/>
          <w:szCs w:val="32"/>
          <w:lang w:val="en-US" w:eastAsia="zh-CN"/>
        </w:rPr>
        <w:t>1000</w:t>
      </w:r>
      <w:r>
        <w:rPr>
          <w:rFonts w:hint="default" w:eastAsia="仿宋_GB2312"/>
          <w:bCs/>
          <w:sz w:val="32"/>
          <w:szCs w:val="32"/>
        </w:rPr>
        <w:t>万元，其中环保投资</w:t>
      </w:r>
      <w:r>
        <w:rPr>
          <w:rFonts w:hint="eastAsia" w:eastAsia="仿宋_GB2312"/>
          <w:bCs/>
          <w:sz w:val="32"/>
          <w:szCs w:val="32"/>
          <w:lang w:val="en-US" w:eastAsia="zh-CN"/>
        </w:rPr>
        <w:t>55</w:t>
      </w:r>
      <w:r>
        <w:rPr>
          <w:rFonts w:hint="default" w:eastAsia="仿宋_GB2312"/>
          <w:bCs/>
          <w:sz w:val="32"/>
          <w:szCs w:val="32"/>
        </w:rPr>
        <w:t>万元。</w:t>
      </w:r>
    </w:p>
    <w:p w14:paraId="289B71D8">
      <w:pPr>
        <w:tabs>
          <w:tab w:val="left" w:pos="5245"/>
        </w:tabs>
        <w:spacing w:line="560" w:lineRule="exact"/>
        <w:ind w:firstLine="640" w:firstLineChars="200"/>
        <w:rPr>
          <w:rFonts w:hint="default" w:eastAsia="仿宋_GB2312"/>
          <w:bCs/>
          <w:sz w:val="32"/>
          <w:szCs w:val="32"/>
        </w:rPr>
      </w:pPr>
      <w:r>
        <w:rPr>
          <w:rFonts w:hint="default" w:eastAsia="仿宋_GB2312"/>
          <w:bCs/>
          <w:sz w:val="32"/>
          <w:szCs w:val="32"/>
        </w:rPr>
        <w:t>二、经审查，项目在采取《报告表》所列的各项污染防治措施后，对环境的不利影响能够得到有效缓解和控制。</w:t>
      </w:r>
      <w:r>
        <w:rPr>
          <w:rFonts w:eastAsia="仿宋_GB2312"/>
          <w:bCs/>
          <w:sz w:val="32"/>
          <w:szCs w:val="32"/>
        </w:rPr>
        <w:t>我局同意该项目的环境影响评价总体结论和各项环境保护措施。</w:t>
      </w:r>
    </w:p>
    <w:p w14:paraId="1A3FC7DF">
      <w:pPr>
        <w:tabs>
          <w:tab w:val="left" w:pos="5245"/>
        </w:tabs>
        <w:spacing w:line="560" w:lineRule="exact"/>
        <w:ind w:firstLine="640" w:firstLineChars="200"/>
        <w:rPr>
          <w:rFonts w:hint="default" w:eastAsia="仿宋_GB2312"/>
          <w:bCs/>
          <w:sz w:val="32"/>
          <w:szCs w:val="32"/>
        </w:rPr>
      </w:pPr>
      <w:r>
        <w:rPr>
          <w:rFonts w:hint="default" w:eastAsia="仿宋_GB2312"/>
          <w:bCs/>
          <w:sz w:val="32"/>
          <w:szCs w:val="32"/>
        </w:rPr>
        <w:t>三、项目运行中应重点做好以下工作：</w:t>
      </w:r>
    </w:p>
    <w:p w14:paraId="780E7143">
      <w:pPr>
        <w:spacing w:line="560" w:lineRule="exact"/>
        <w:ind w:firstLine="640" w:firstLineChars="200"/>
        <w:rPr>
          <w:rFonts w:hint="eastAsia" w:eastAsia="仿宋_GB2312"/>
          <w:bCs/>
          <w:sz w:val="32"/>
          <w:szCs w:val="32"/>
          <w:lang w:eastAsia="zh-CN"/>
        </w:rPr>
      </w:pPr>
      <w:r>
        <w:rPr>
          <w:rFonts w:hint="default" w:eastAsia="仿宋_GB2312"/>
          <w:bCs/>
          <w:sz w:val="32"/>
          <w:szCs w:val="32"/>
        </w:rPr>
        <w:t>（一）严格落实大气污染防治措施。</w:t>
      </w:r>
      <w:r>
        <w:rPr>
          <w:rFonts w:hint="default" w:eastAsia="仿宋_GB2312"/>
          <w:bCs/>
          <w:sz w:val="32"/>
          <w:szCs w:val="32"/>
          <w:lang w:val="en-US" w:eastAsia="zh-CN"/>
        </w:rPr>
        <w:t>干料拌合产生的粉尘经1台脉冲除尘器处理后通过1根15m高的排气筒（DA001）排放；筒仓呼吸孔产生的粉尘经脉冲除尘器处理后无组织排放</w:t>
      </w:r>
      <w:r>
        <w:rPr>
          <w:rFonts w:hint="eastAsia" w:eastAsia="仿宋_GB2312"/>
          <w:bCs/>
          <w:sz w:val="32"/>
          <w:szCs w:val="32"/>
          <w:lang w:eastAsia="zh-CN"/>
        </w:rPr>
        <w:t>。</w:t>
      </w:r>
    </w:p>
    <w:p w14:paraId="6C3802D7">
      <w:pPr>
        <w:spacing w:line="560" w:lineRule="exact"/>
        <w:ind w:firstLine="640" w:firstLineChars="200"/>
        <w:rPr>
          <w:rFonts w:hint="default" w:eastAsia="仿宋_GB2312"/>
          <w:bCs/>
          <w:sz w:val="32"/>
          <w:szCs w:val="32"/>
          <w:lang w:val="en-US" w:eastAsia="zh-CN"/>
        </w:rPr>
      </w:pPr>
      <w:r>
        <w:rPr>
          <w:rFonts w:hint="default" w:eastAsia="仿宋_GB2312"/>
          <w:bCs/>
          <w:sz w:val="32"/>
          <w:szCs w:val="32"/>
        </w:rPr>
        <w:t>（二）严格落实水污染防治措施。</w:t>
      </w:r>
      <w:r>
        <w:rPr>
          <w:rFonts w:hint="eastAsia" w:eastAsia="仿宋_GB2312"/>
          <w:bCs/>
          <w:sz w:val="32"/>
          <w:szCs w:val="32"/>
          <w:lang w:val="en-US" w:eastAsia="zh-CN"/>
        </w:rPr>
        <w:t>生产</w:t>
      </w:r>
      <w:r>
        <w:rPr>
          <w:rFonts w:hint="default" w:eastAsia="仿宋_GB2312"/>
          <w:bCs/>
          <w:sz w:val="32"/>
          <w:szCs w:val="32"/>
          <w:lang w:val="en-US" w:eastAsia="zh-CN"/>
        </w:rPr>
        <w:t>废水经沉淀</w:t>
      </w:r>
      <w:r>
        <w:rPr>
          <w:rFonts w:hint="eastAsia" w:eastAsia="仿宋_GB2312"/>
          <w:bCs/>
          <w:sz w:val="32"/>
          <w:szCs w:val="32"/>
          <w:lang w:val="en-US" w:eastAsia="zh-CN"/>
        </w:rPr>
        <w:t>池沉淀</w:t>
      </w:r>
      <w:r>
        <w:rPr>
          <w:rFonts w:hint="default" w:eastAsia="仿宋_GB2312"/>
          <w:bCs/>
          <w:sz w:val="32"/>
          <w:szCs w:val="32"/>
          <w:lang w:val="en-US" w:eastAsia="zh-CN"/>
        </w:rPr>
        <w:t>后回用于生产不外排；生活污水经化粪池处理后拉运还田</w:t>
      </w:r>
      <w:r>
        <w:rPr>
          <w:rFonts w:hint="eastAsia" w:eastAsia="仿宋_GB2312"/>
          <w:bCs/>
          <w:sz w:val="32"/>
          <w:szCs w:val="32"/>
          <w:lang w:val="en-US" w:eastAsia="zh-CN"/>
        </w:rPr>
        <w:t>。</w:t>
      </w:r>
    </w:p>
    <w:p w14:paraId="1E230259">
      <w:pPr>
        <w:tabs>
          <w:tab w:val="left" w:pos="5245"/>
        </w:tabs>
        <w:spacing w:line="560" w:lineRule="exact"/>
        <w:ind w:firstLine="640" w:firstLineChars="200"/>
        <w:rPr>
          <w:rFonts w:hint="default" w:eastAsia="仿宋_GB2312"/>
          <w:bCs/>
          <w:sz w:val="32"/>
          <w:szCs w:val="32"/>
        </w:rPr>
      </w:pPr>
      <w:r>
        <w:rPr>
          <w:rFonts w:hint="default" w:eastAsia="仿宋_GB2312"/>
          <w:bCs/>
          <w:sz w:val="32"/>
          <w:szCs w:val="32"/>
        </w:rPr>
        <w:t>（三）</w:t>
      </w:r>
      <w:r>
        <w:rPr>
          <w:rFonts w:hint="default" w:eastAsia="仿宋_GB2312"/>
          <w:sz w:val="32"/>
          <w:szCs w:val="32"/>
        </w:rPr>
        <w:t>优化厂区平面布置</w:t>
      </w:r>
      <w:r>
        <w:rPr>
          <w:rFonts w:hint="eastAsia" w:eastAsia="仿宋_GB2312"/>
          <w:sz w:val="32"/>
          <w:szCs w:val="32"/>
          <w:lang w:eastAsia="zh-CN"/>
        </w:rPr>
        <w:t>。优先选用低噪设备，并安装减振垫，均置于车间内部，采取隔声降噪，</w:t>
      </w:r>
      <w:r>
        <w:rPr>
          <w:rFonts w:hint="eastAsia" w:eastAsia="仿宋_GB2312"/>
          <w:sz w:val="32"/>
          <w:szCs w:val="32"/>
          <w:lang w:val="en-US" w:eastAsia="zh-CN"/>
        </w:rPr>
        <w:t>风机设置隔声罩</w:t>
      </w:r>
      <w:r>
        <w:rPr>
          <w:rFonts w:eastAsia="仿宋_GB2312"/>
          <w:bCs/>
          <w:sz w:val="32"/>
          <w:szCs w:val="32"/>
        </w:rPr>
        <w:t>。</w:t>
      </w:r>
    </w:p>
    <w:p w14:paraId="3D34F404">
      <w:pPr>
        <w:widowControl/>
        <w:adjustRightInd w:val="0"/>
        <w:snapToGrid w:val="0"/>
        <w:spacing w:line="560" w:lineRule="exact"/>
        <w:ind w:firstLine="640" w:firstLineChars="200"/>
        <w:rPr>
          <w:rFonts w:eastAsia="仿宋_GB2312"/>
          <w:bCs/>
          <w:sz w:val="32"/>
          <w:szCs w:val="32"/>
        </w:rPr>
      </w:pPr>
      <w:r>
        <w:rPr>
          <w:rFonts w:hint="default" w:eastAsia="仿宋_GB2312"/>
          <w:bCs/>
          <w:sz w:val="32"/>
          <w:szCs w:val="32"/>
        </w:rPr>
        <w:t>（四）合规处置各类固体废物。危险废物分类收集贮存，委托有资质单位处置；一般工业固体废物合规处置；生活垃圾分类收集，由环卫部门及时清运</w:t>
      </w:r>
      <w:r>
        <w:rPr>
          <w:rFonts w:eastAsia="仿宋_GB2312"/>
          <w:bCs/>
          <w:sz w:val="32"/>
          <w:szCs w:val="32"/>
        </w:rPr>
        <w:t>。</w:t>
      </w:r>
    </w:p>
    <w:p w14:paraId="6464D4EA">
      <w:pPr>
        <w:pStyle w:val="5"/>
        <w:adjustRightInd w:val="0"/>
        <w:snapToGrid w:val="0"/>
        <w:spacing w:after="0" w:line="576" w:lineRule="exact"/>
        <w:ind w:firstLine="640" w:firstLineChars="200"/>
        <w:rPr>
          <w:rFonts w:hint="default" w:eastAsia="仿宋_GB2312"/>
          <w:bCs/>
          <w:sz w:val="32"/>
          <w:szCs w:val="32"/>
        </w:rPr>
      </w:pPr>
      <w:r>
        <w:rPr>
          <w:rFonts w:eastAsia="仿宋_GB2312"/>
          <w:bCs/>
          <w:sz w:val="32"/>
          <w:szCs w:val="32"/>
        </w:rPr>
        <w:t>四、</w:t>
      </w:r>
      <w:r>
        <w:rPr>
          <w:rFonts w:hint="default" w:eastAsia="仿宋_GB2312"/>
          <w:bCs/>
          <w:sz w:val="32"/>
          <w:szCs w:val="32"/>
        </w:rPr>
        <w:t>项目在建设过程中，你</w:t>
      </w:r>
      <w:r>
        <w:rPr>
          <w:rFonts w:hint="eastAsia" w:eastAsia="仿宋_GB2312"/>
          <w:bCs/>
          <w:sz w:val="32"/>
          <w:szCs w:val="32"/>
          <w:lang w:val="en-US" w:eastAsia="zh-CN"/>
        </w:rPr>
        <w:t>公司</w:t>
      </w:r>
      <w:r>
        <w:rPr>
          <w:rFonts w:hint="default" w:eastAsia="仿宋_GB2312"/>
          <w:bCs/>
          <w:sz w:val="32"/>
          <w:szCs w:val="32"/>
        </w:rPr>
        <w:t>应严格执行环保</w:t>
      </w:r>
      <w:r>
        <w:rPr>
          <w:rFonts w:eastAsia="仿宋_GB2312"/>
          <w:bCs/>
          <w:sz w:val="32"/>
          <w:szCs w:val="32"/>
        </w:rPr>
        <w:t>“</w:t>
      </w:r>
      <w:r>
        <w:rPr>
          <w:rFonts w:hint="default" w:eastAsia="仿宋_GB2312"/>
          <w:bCs/>
          <w:sz w:val="32"/>
          <w:szCs w:val="32"/>
        </w:rPr>
        <w:t>三同时</w:t>
      </w:r>
      <w:r>
        <w:rPr>
          <w:rFonts w:eastAsia="仿宋_GB2312"/>
          <w:bCs/>
          <w:sz w:val="32"/>
          <w:szCs w:val="32"/>
        </w:rPr>
        <w:t>”</w:t>
      </w:r>
      <w:r>
        <w:rPr>
          <w:rFonts w:hint="default" w:eastAsia="仿宋_GB2312"/>
          <w:bCs/>
          <w:sz w:val="32"/>
          <w:szCs w:val="32"/>
        </w:rPr>
        <w:t>制度。项目建成后应按要求和规定程序办理排污许可手续和开展竣工环境保护验收</w:t>
      </w:r>
      <w:r>
        <w:rPr>
          <w:rFonts w:hint="eastAsia" w:eastAsia="仿宋_GB2312"/>
          <w:bCs/>
          <w:sz w:val="32"/>
          <w:szCs w:val="32"/>
          <w:lang w:eastAsia="zh-CN"/>
        </w:rPr>
        <w:t>，</w:t>
      </w:r>
      <w:r>
        <w:rPr>
          <w:rFonts w:hint="default" w:eastAsia="仿宋_GB2312"/>
          <w:bCs/>
          <w:sz w:val="32"/>
          <w:szCs w:val="32"/>
        </w:rPr>
        <w:t>并制定重点污染天气应急预案，按要求落实。</w:t>
      </w:r>
    </w:p>
    <w:p w14:paraId="1E4CFE44">
      <w:pPr>
        <w:spacing w:line="576" w:lineRule="exact"/>
        <w:ind w:firstLine="4160" w:firstLineChars="1300"/>
        <w:jc w:val="left"/>
        <w:rPr>
          <w:rFonts w:hint="default" w:eastAsia="仿宋_GB2312"/>
          <w:bCs/>
          <w:sz w:val="32"/>
          <w:szCs w:val="32"/>
        </w:rPr>
      </w:pPr>
    </w:p>
    <w:p w14:paraId="18BA3117">
      <w:pPr>
        <w:spacing w:line="576" w:lineRule="exact"/>
        <w:ind w:firstLine="4160" w:firstLineChars="1300"/>
        <w:jc w:val="left"/>
        <w:rPr>
          <w:rFonts w:hint="default" w:eastAsia="仿宋_GB2312"/>
          <w:bCs/>
          <w:sz w:val="32"/>
          <w:szCs w:val="32"/>
        </w:rPr>
      </w:pPr>
    </w:p>
    <w:p w14:paraId="35B4C34D">
      <w:pPr>
        <w:spacing w:line="576" w:lineRule="exact"/>
        <w:ind w:firstLine="4160" w:firstLineChars="1300"/>
        <w:jc w:val="left"/>
        <w:rPr>
          <w:rFonts w:hint="default" w:eastAsia="仿宋_GB2312"/>
          <w:bCs/>
          <w:sz w:val="32"/>
          <w:szCs w:val="32"/>
        </w:rPr>
      </w:pPr>
      <w:r>
        <w:rPr>
          <w:rFonts w:hint="default" w:eastAsia="仿宋_GB2312"/>
          <w:bCs/>
          <w:sz w:val="32"/>
          <w:szCs w:val="32"/>
        </w:rPr>
        <w:t>西安市生态环境局临潼分局</w:t>
      </w:r>
    </w:p>
    <w:tbl>
      <w:tblPr>
        <w:tblStyle w:val="6"/>
        <w:tblpPr w:leftFromText="180" w:rightFromText="180" w:vertAnchor="text" w:horzAnchor="page" w:tblpX="1663" w:tblpY="100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0"/>
      </w:tblGrid>
      <w:tr w14:paraId="3B521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20" w:type="dxa"/>
            <w:tcBorders>
              <w:left w:val="nil"/>
              <w:right w:val="nil"/>
            </w:tcBorders>
          </w:tcPr>
          <w:p w14:paraId="1A7018CF">
            <w:pPr>
              <w:autoSpaceDN w:val="0"/>
              <w:spacing w:line="520" w:lineRule="exact"/>
              <w:rPr>
                <w:rFonts w:hint="default" w:eastAsia="仿宋"/>
                <w:bCs/>
                <w:sz w:val="32"/>
                <w:szCs w:val="32"/>
                <w:lang w:val="en-US" w:eastAsia="zh-CN"/>
              </w:rPr>
            </w:pPr>
            <w:r>
              <w:rPr>
                <w:rFonts w:hint="default" w:hAnsi="仿宋" w:eastAsia="仿宋"/>
                <w:bCs/>
                <w:sz w:val="32"/>
                <w:szCs w:val="32"/>
              </w:rPr>
              <w:t>抄送：</w:t>
            </w:r>
            <w:r>
              <w:rPr>
                <w:rFonts w:hAnsi="仿宋" w:eastAsia="仿宋"/>
                <w:bCs/>
                <w:sz w:val="32"/>
                <w:szCs w:val="32"/>
              </w:rPr>
              <w:t>西安市生态环境保护综合执法支队临潼大队、陕西清水源泉生态环境工程有限公司</w:t>
            </w:r>
          </w:p>
        </w:tc>
      </w:tr>
    </w:tbl>
    <w:p w14:paraId="690EA8D4">
      <w:pPr>
        <w:spacing w:line="576" w:lineRule="exact"/>
        <w:ind w:firstLine="4960" w:firstLineChars="1550"/>
        <w:jc w:val="left"/>
        <w:rPr>
          <w:rFonts w:hint="default" w:eastAsia="仿宋_GB2312"/>
          <w:bCs/>
          <w:sz w:val="32"/>
          <w:szCs w:val="32"/>
        </w:rPr>
      </w:pPr>
      <w:r>
        <w:rPr>
          <w:rFonts w:hint="default" w:eastAsia="仿宋_GB2312"/>
          <w:bCs/>
          <w:sz w:val="32"/>
          <w:szCs w:val="32"/>
        </w:rPr>
        <w:t>20</w:t>
      </w:r>
      <w:r>
        <w:rPr>
          <w:rFonts w:eastAsia="仿宋_GB2312"/>
          <w:bCs/>
          <w:sz w:val="32"/>
          <w:szCs w:val="32"/>
        </w:rPr>
        <w:t>2</w:t>
      </w:r>
      <w:r>
        <w:rPr>
          <w:rFonts w:hint="eastAsia" w:eastAsia="仿宋_GB2312"/>
          <w:bCs/>
          <w:sz w:val="32"/>
          <w:szCs w:val="32"/>
          <w:lang w:val="en-US" w:eastAsia="zh-CN"/>
        </w:rPr>
        <w:t>5</w:t>
      </w:r>
      <w:r>
        <w:rPr>
          <w:rFonts w:hint="default" w:eastAsia="仿宋_GB2312"/>
          <w:bCs/>
          <w:sz w:val="32"/>
          <w:szCs w:val="32"/>
        </w:rPr>
        <w:t>年</w:t>
      </w:r>
      <w:r>
        <w:rPr>
          <w:rFonts w:hint="eastAsia" w:eastAsia="仿宋_GB2312"/>
          <w:bCs/>
          <w:sz w:val="32"/>
          <w:szCs w:val="32"/>
          <w:lang w:val="en-US" w:eastAsia="zh-CN"/>
        </w:rPr>
        <w:t>8</w:t>
      </w:r>
      <w:r>
        <w:rPr>
          <w:rFonts w:hint="default" w:eastAsia="仿宋_GB2312"/>
          <w:bCs/>
          <w:sz w:val="32"/>
          <w:szCs w:val="32"/>
        </w:rPr>
        <w:t>月</w:t>
      </w:r>
      <w:r>
        <w:rPr>
          <w:rFonts w:hint="eastAsia" w:eastAsia="仿宋_GB2312"/>
          <w:bCs/>
          <w:sz w:val="32"/>
          <w:szCs w:val="32"/>
          <w:lang w:val="en-US" w:eastAsia="zh-CN"/>
        </w:rPr>
        <w:t>26</w:t>
      </w:r>
      <w:r>
        <w:rPr>
          <w:rFonts w:hint="default" w:eastAsia="仿宋_GB2312"/>
          <w:bCs/>
          <w:sz w:val="32"/>
          <w:szCs w:val="32"/>
        </w:rPr>
        <w:t>日</w:t>
      </w:r>
    </w:p>
    <w:sectPr>
      <w:footerReference r:id="rId3" w:type="default"/>
      <w:pgSz w:w="11906" w:h="16838"/>
      <w:pgMar w:top="1417" w:right="1644" w:bottom="1440" w:left="164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8D90C">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9183C7">
                          <w:pPr>
                            <w:pStyle w:val="3"/>
                          </w:pPr>
                          <w:r>
                            <w:rPr>
                              <w:sz w:val="30"/>
                              <w:szCs w:val="30"/>
                            </w:rPr>
                            <w:t xml:space="preserve">— </w:t>
                          </w:r>
                          <w:r>
                            <w:rPr>
                              <w:sz w:val="30"/>
                              <w:szCs w:val="30"/>
                            </w:rPr>
                            <w:fldChar w:fldCharType="begin"/>
                          </w:r>
                          <w:r>
                            <w:rPr>
                              <w:sz w:val="30"/>
                              <w:szCs w:val="30"/>
                            </w:rPr>
                            <w:instrText xml:space="preserve"> PAGE  \* MERGEFORMAT </w:instrText>
                          </w:r>
                          <w:r>
                            <w:rPr>
                              <w:sz w:val="30"/>
                              <w:szCs w:val="30"/>
                            </w:rPr>
                            <w:fldChar w:fldCharType="separate"/>
                          </w:r>
                          <w:r>
                            <w:rPr>
                              <w:sz w:val="30"/>
                              <w:szCs w:val="30"/>
                            </w:rPr>
                            <w:t>1</w:t>
                          </w:r>
                          <w:r>
                            <w:rPr>
                              <w:sz w:val="30"/>
                              <w:szCs w:val="30"/>
                            </w:rPr>
                            <w:fldChar w:fldCharType="end"/>
                          </w:r>
                          <w:r>
                            <w:rPr>
                              <w:sz w:val="30"/>
                              <w:szCs w:val="30"/>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B9183C7">
                    <w:pPr>
                      <w:pStyle w:val="3"/>
                    </w:pPr>
                    <w:r>
                      <w:rPr>
                        <w:sz w:val="30"/>
                        <w:szCs w:val="30"/>
                      </w:rPr>
                      <w:t xml:space="preserve">— </w:t>
                    </w:r>
                    <w:r>
                      <w:rPr>
                        <w:sz w:val="30"/>
                        <w:szCs w:val="30"/>
                      </w:rPr>
                      <w:fldChar w:fldCharType="begin"/>
                    </w:r>
                    <w:r>
                      <w:rPr>
                        <w:sz w:val="30"/>
                        <w:szCs w:val="30"/>
                      </w:rPr>
                      <w:instrText xml:space="preserve"> PAGE  \* MERGEFORMAT </w:instrText>
                    </w:r>
                    <w:r>
                      <w:rPr>
                        <w:sz w:val="30"/>
                        <w:szCs w:val="30"/>
                      </w:rPr>
                      <w:fldChar w:fldCharType="separate"/>
                    </w:r>
                    <w:r>
                      <w:rPr>
                        <w:sz w:val="30"/>
                        <w:szCs w:val="30"/>
                      </w:rPr>
                      <w:t>1</w:t>
                    </w:r>
                    <w:r>
                      <w:rPr>
                        <w:sz w:val="30"/>
                        <w:szCs w:val="30"/>
                      </w:rPr>
                      <w:fldChar w:fldCharType="end"/>
                    </w:r>
                    <w:r>
                      <w:rPr>
                        <w:sz w:val="30"/>
                        <w:szCs w:val="30"/>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1E1E07"/>
    <w:rsid w:val="0F58051A"/>
    <w:rsid w:val="142F698D"/>
    <w:rsid w:val="28851357"/>
    <w:rsid w:val="46592AF6"/>
    <w:rsid w:val="511E1E07"/>
    <w:rsid w:val="58815B21"/>
    <w:rsid w:val="5A1D1E2D"/>
    <w:rsid w:val="761F2D26"/>
    <w:rsid w:val="79DC40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hint="eastAsia"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Body Text First Indent"/>
    <w:basedOn w:val="2"/>
    <w:qFormat/>
    <w:uiPriority w:val="0"/>
    <w:pPr>
      <w:spacing w:after="120"/>
      <w:ind w:firstLine="420" w:firstLineChars="100"/>
      <w:jc w:val="both"/>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670</Words>
  <Characters>689</Characters>
  <Lines>0</Lines>
  <Paragraphs>0</Paragraphs>
  <TotalTime>0</TotalTime>
  <ScaleCrop>false</ScaleCrop>
  <LinksUpToDate>false</LinksUpToDate>
  <CharactersWithSpaces>720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2025-05-15T02:09:00Z</dcterms:created>
  <dc:creator>离羽</dc:creator>
  <cp:lastModifiedBy>离羽</cp:lastModifiedBy>
  <cp:lastPrinted>2025-05-28T01:13:00Z</cp:lastPrinted>
  <dcterms:modified xsi:type="dcterms:W3CDTF">2025-08-25T03:44:14Z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E9A5F46524EA4DE2AB8D6FA8ABF50AA7_11</vt:lpwstr>
  </property>
  <property fmtid="{D5CDD505-2E9C-101B-9397-08002B2CF9AE}" pid="4" name="KSOTemplateDocerSaveRecord">
    <vt:lpwstr>eyJoZGlkIjoiYWU2NTY5MzQ5NzBlMGY0YWRjYTAzNmQyMjFjOTRmNmEiLCJ1c2VySWQiOiI5NjUwNDA1NTkifQ==</vt:lpwstr>
  </property>
</Properties>
</file>