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14</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w:t>
      </w:r>
      <w:r>
        <w:rPr>
          <w:rFonts w:hint="default" w:eastAsia="微软简标宋"/>
          <w:spacing w:val="-15"/>
          <w:sz w:val="44"/>
          <w:szCs w:val="44"/>
          <w:lang w:val="en-US" w:eastAsia="zh-CN"/>
        </w:rPr>
        <w:t>金于博水泥制品生产项目</w:t>
      </w:r>
      <w:r>
        <w:rPr>
          <w:rFonts w:hint="default" w:eastAsia="微软简标宋"/>
          <w:spacing w:val="-15"/>
          <w:sz w:val="44"/>
          <w:szCs w:val="44"/>
        </w:rPr>
        <w:t>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lang w:val="en-US" w:eastAsia="zh-CN"/>
        </w:rPr>
        <w:t>陕西金于博环保科技有限公司</w:t>
      </w:r>
      <w:r>
        <w:rPr>
          <w:rFonts w:hint="default" w:eastAsia="仿宋_GB2312"/>
          <w:bCs/>
          <w:sz w:val="32"/>
          <w:szCs w:val="32"/>
        </w:rPr>
        <w:t>：</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w:t>
      </w:r>
      <w:r>
        <w:rPr>
          <w:rFonts w:hint="default" w:eastAsia="仿宋_GB2312"/>
          <w:bCs/>
          <w:sz w:val="32"/>
          <w:szCs w:val="32"/>
          <w:lang w:val="en-US" w:eastAsia="zh-CN"/>
        </w:rPr>
        <w:t>金于博水泥制品生产项目</w:t>
      </w:r>
      <w:r>
        <w:rPr>
          <w:rFonts w:hint="default" w:eastAsia="仿宋_GB2312"/>
          <w:bCs/>
          <w:sz w:val="32"/>
          <w:szCs w:val="32"/>
        </w:rPr>
        <w:t>环境影响报告表》（以下简称《报告表》）收悉，结合西安市环境保护科学研究院对《报告表》的技术评估意见（市评估函〔202</w:t>
      </w:r>
      <w:r>
        <w:rPr>
          <w:rFonts w:hint="eastAsia" w:eastAsia="仿宋_GB2312"/>
          <w:bCs/>
          <w:sz w:val="32"/>
          <w:szCs w:val="32"/>
          <w:lang w:val="en-US" w:eastAsia="zh-CN"/>
        </w:rPr>
        <w:t>5</w:t>
      </w:r>
      <w:r>
        <w:rPr>
          <w:rFonts w:hint="default" w:eastAsia="仿宋_GB2312"/>
          <w:bCs/>
          <w:sz w:val="32"/>
          <w:szCs w:val="32"/>
        </w:rPr>
        <w:t>〕</w:t>
      </w:r>
      <w:r>
        <w:rPr>
          <w:rFonts w:hint="eastAsia" w:eastAsia="仿宋_GB2312"/>
          <w:bCs/>
          <w:sz w:val="32"/>
          <w:szCs w:val="32"/>
          <w:lang w:val="en-US" w:eastAsia="zh-CN"/>
        </w:rPr>
        <w:t>92</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项目用地面积约为8717m</w:t>
      </w:r>
      <w:r>
        <w:rPr>
          <w:rFonts w:hint="default" w:eastAsia="仿宋_GB2312"/>
          <w:bCs/>
          <w:sz w:val="32"/>
          <w:szCs w:val="32"/>
          <w:vertAlign w:val="superscript"/>
          <w:lang w:val="en-US" w:eastAsia="zh-CN"/>
        </w:rPr>
        <w:t>2</w:t>
      </w:r>
      <w:r>
        <w:rPr>
          <w:rFonts w:hint="eastAsia" w:eastAsia="仿宋_GB2312"/>
          <w:bCs/>
          <w:sz w:val="32"/>
          <w:szCs w:val="32"/>
          <w:lang w:val="en-US" w:eastAsia="zh-CN"/>
        </w:rPr>
        <w:t>，</w:t>
      </w:r>
      <w:r>
        <w:rPr>
          <w:rFonts w:hint="default" w:eastAsia="仿宋_GB2312"/>
          <w:bCs/>
          <w:sz w:val="32"/>
          <w:szCs w:val="32"/>
          <w:lang w:val="en-US" w:eastAsia="zh-CN"/>
        </w:rPr>
        <w:t>建设1条水泥制品生产线建设项目，项目配有水泥筒仓等设备，年生产化粪池200个、检查井2000个及其他（根据订单进行生产）200个。</w:t>
      </w:r>
      <w:r>
        <w:rPr>
          <w:rFonts w:hint="default" w:eastAsia="仿宋_GB2312"/>
          <w:bCs/>
          <w:sz w:val="32"/>
          <w:szCs w:val="32"/>
        </w:rPr>
        <w:t>项目总投资</w:t>
      </w:r>
      <w:r>
        <w:rPr>
          <w:rFonts w:hint="eastAsia" w:eastAsia="仿宋_GB2312"/>
          <w:bCs/>
          <w:sz w:val="32"/>
          <w:szCs w:val="32"/>
          <w:lang w:val="en-US" w:eastAsia="zh-CN"/>
        </w:rPr>
        <w:t>300</w:t>
      </w:r>
      <w:r>
        <w:rPr>
          <w:rFonts w:hint="default" w:eastAsia="仿宋_GB2312"/>
          <w:bCs/>
          <w:sz w:val="32"/>
          <w:szCs w:val="32"/>
        </w:rPr>
        <w:t>万元，其中环保投资</w:t>
      </w:r>
      <w:r>
        <w:rPr>
          <w:rFonts w:hint="eastAsia" w:eastAsia="仿宋_GB2312"/>
          <w:bCs/>
          <w:sz w:val="32"/>
          <w:szCs w:val="32"/>
          <w:lang w:val="en-US" w:eastAsia="zh-CN"/>
        </w:rPr>
        <w:t>70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上料、搅拌粉尘及焊接烟尘经集气装置收集+布袋除尘器+20m排气筒DA001排放；堆场粉尘采用洒水抑尘；车辆运输扬尘采取运输过程中进行封闭处理，对进出车辆进行清洗；装卸粉尘项目砂子、石头采用全封闭原料库堆存，</w:t>
      </w:r>
      <w:r>
        <w:rPr>
          <w:rFonts w:hint="eastAsia" w:ascii="Times New Roman" w:hAnsi="Times New Roman" w:eastAsia="仿宋_GB2312" w:cs="Times New Roman"/>
          <w:bCs/>
          <w:sz w:val="32"/>
          <w:szCs w:val="32"/>
          <w:lang w:val="en-US" w:eastAsia="zh-CN"/>
        </w:rPr>
        <w:t>设喷淋装置进行抑尘</w:t>
      </w:r>
      <w:r>
        <w:rPr>
          <w:rFonts w:hint="default" w:eastAsia="仿宋_GB2312"/>
          <w:bCs/>
          <w:sz w:val="32"/>
          <w:szCs w:val="32"/>
          <w:lang w:val="en-US" w:eastAsia="zh-CN"/>
        </w:rPr>
        <w:t>；筒仓呼吸粉尘采用设备自带脉冲式布袋除尘器处理后无组织排放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val="en-US" w:eastAsia="zh-CN"/>
        </w:rPr>
        <w:t>生活污水经化粪池收集后定期清掏不外排</w:t>
      </w:r>
      <w:r>
        <w:rPr>
          <w:rFonts w:hint="eastAsia" w:eastAsia="仿宋_GB2312"/>
          <w:bCs/>
          <w:sz w:val="32"/>
          <w:szCs w:val="32"/>
          <w:lang w:val="en-US" w:eastAsia="zh-CN"/>
        </w:rPr>
        <w:t>；初期雨水和车辆清洗废水经三级循环沉淀池处理后回用于车辆清洗、洒水降尘，不外排；搅拌机清洗废水经砂石分离机及三级循环沉淀池处理后回用于搅拌机清洗，不外排。</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eastAsia" w:eastAsia="仿宋_GB2312"/>
          <w:sz w:val="32"/>
          <w:szCs w:val="32"/>
          <w:lang w:val="en-US" w:eastAsia="zh-CN"/>
        </w:rPr>
        <w:t>采取</w:t>
      </w:r>
      <w:r>
        <w:rPr>
          <w:rFonts w:hint="eastAsia" w:eastAsia="仿宋_GB2312"/>
          <w:sz w:val="32"/>
          <w:szCs w:val="32"/>
          <w:lang w:eastAsia="zh-CN"/>
        </w:rPr>
        <w:t>选用低噪声设备、合理布局，加强设备保养维护、</w:t>
      </w:r>
      <w:r>
        <w:rPr>
          <w:rFonts w:hint="eastAsia" w:eastAsia="仿宋_GB2312"/>
          <w:sz w:val="32"/>
          <w:szCs w:val="32"/>
          <w:lang w:val="en-US" w:eastAsia="zh-CN"/>
        </w:rPr>
        <w:t>厂房隔声、基础减震</w:t>
      </w:r>
      <w:r>
        <w:rPr>
          <w:rFonts w:hint="eastAsia" w:eastAsia="仿宋_GB2312"/>
          <w:sz w:val="32"/>
          <w:szCs w:val="32"/>
          <w:lang w:eastAsia="zh-CN"/>
        </w:rPr>
        <w:t>等措施，</w:t>
      </w:r>
      <w:r>
        <w:rPr>
          <w:rFonts w:hint="eastAsia" w:eastAsia="仿宋_GB2312"/>
          <w:sz w:val="32"/>
          <w:szCs w:val="32"/>
          <w:lang w:val="en-US" w:eastAsia="zh-CN"/>
        </w:rPr>
        <w:t>确保满足《工业企业厂界环境噪声排放标准》（GB12348-2008）中2类标准</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（四）合规处置各类固体废物。危险废物分类收集贮存，委托有资质单位处置；一般工业固体废物合规处置；生活垃圾分类收集，由环卫部门及时清运</w:t>
      </w:r>
      <w:r>
        <w:rPr>
          <w:rFonts w:eastAsia="仿宋_GB2312"/>
          <w:bCs/>
          <w:sz w:val="32"/>
          <w:szCs w:val="32"/>
        </w:rPr>
        <w:t>。</w:t>
      </w:r>
    </w:p>
    <w:p w14:paraId="6464D4EA">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项目应按照重点行业企业环保绩效</w:t>
      </w:r>
      <w:r>
        <w:rPr>
          <w:rFonts w:hint="eastAsia" w:eastAsia="仿宋_GB2312"/>
          <w:bCs/>
          <w:sz w:val="32"/>
          <w:szCs w:val="32"/>
          <w:lang w:val="en-US" w:eastAsia="zh-CN"/>
        </w:rPr>
        <w:t>引领性</w:t>
      </w:r>
      <w:r>
        <w:rPr>
          <w:rFonts w:eastAsia="仿宋_GB2312"/>
          <w:bCs/>
          <w:sz w:val="32"/>
          <w:szCs w:val="32"/>
        </w:rPr>
        <w:t>进行建设和运营</w:t>
      </w:r>
      <w:r>
        <w:rPr>
          <w:rFonts w:hint="eastAsia" w:eastAsia="仿宋_GB2312"/>
          <w:bCs/>
          <w:sz w:val="32"/>
          <w:szCs w:val="32"/>
          <w:lang w:eastAsia="zh-CN"/>
        </w:rPr>
        <w:t>。</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w:t>
      </w:r>
      <w:r>
        <w:rPr>
          <w:rFonts w:hint="eastAsia" w:eastAsia="仿宋_GB2312"/>
          <w:bCs/>
          <w:sz w:val="32"/>
          <w:szCs w:val="32"/>
          <w:lang w:val="en-US" w:eastAsia="zh-CN"/>
        </w:rPr>
        <w:t>严禁使用建筑垃圾作为原辅材料，</w:t>
      </w:r>
      <w:r>
        <w:rPr>
          <w:rFonts w:hint="default" w:eastAsia="仿宋_GB2312"/>
          <w:bCs/>
          <w:sz w:val="32"/>
          <w:szCs w:val="32"/>
        </w:rPr>
        <w:t>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1E4CFE44">
      <w:pPr>
        <w:spacing w:line="576" w:lineRule="exact"/>
        <w:jc w:val="left"/>
        <w:rPr>
          <w:rFonts w:hint="default" w:eastAsia="仿宋_GB2312"/>
          <w:bCs/>
          <w:sz w:val="32"/>
          <w:szCs w:val="32"/>
        </w:rPr>
      </w:pPr>
    </w:p>
    <w:p w14:paraId="15436C09">
      <w:pPr>
        <w:spacing w:line="576" w:lineRule="exact"/>
        <w:jc w:val="left"/>
        <w:rPr>
          <w:rFonts w:hint="eastAsia" w:eastAsia="仿宋_GB2312"/>
          <w:bCs/>
          <w:sz w:val="32"/>
          <w:szCs w:val="32"/>
          <w:lang w:val="en-US" w:eastAsia="zh-CN"/>
        </w:rPr>
      </w:pPr>
      <w:r>
        <w:rPr>
          <w:rFonts w:hint="eastAsia" w:eastAsia="仿宋_GB2312"/>
          <w:bCs/>
          <w:sz w:val="32"/>
          <w:szCs w:val="32"/>
          <w:lang w:val="en-US" w:eastAsia="zh-CN"/>
        </w:rPr>
        <w:t>（</w:t>
      </w:r>
      <w:r>
        <w:rPr>
          <w:rFonts w:hint="eastAsia" w:eastAsia="仿宋_GB2312"/>
          <w:bCs/>
          <w:i/>
          <w:iCs/>
          <w:sz w:val="32"/>
          <w:szCs w:val="32"/>
          <w:lang w:val="en-US" w:eastAsia="zh-CN"/>
        </w:rPr>
        <w:t>此页无正文</w:t>
      </w:r>
      <w:r>
        <w:rPr>
          <w:rFonts w:hint="eastAsia" w:eastAsia="仿宋_GB2312"/>
          <w:bCs/>
          <w:sz w:val="32"/>
          <w:szCs w:val="32"/>
          <w:lang w:val="en-US" w:eastAsia="zh-CN"/>
        </w:rPr>
        <w:t>）</w:t>
      </w:r>
    </w:p>
    <w:p w14:paraId="2455287D">
      <w:pPr>
        <w:spacing w:line="576" w:lineRule="exact"/>
        <w:ind w:firstLine="4160" w:firstLineChars="1300"/>
        <w:jc w:val="left"/>
        <w:rPr>
          <w:rFonts w:hint="default" w:eastAsia="仿宋_GB2312"/>
          <w:bCs/>
          <w:sz w:val="32"/>
          <w:szCs w:val="32"/>
        </w:rPr>
      </w:pPr>
    </w:p>
    <w:p w14:paraId="09695684">
      <w:pPr>
        <w:spacing w:line="576" w:lineRule="exact"/>
        <w:ind w:firstLine="4160" w:firstLineChars="1300"/>
        <w:jc w:val="left"/>
        <w:rPr>
          <w:rFonts w:hint="default" w:eastAsia="仿宋_GB2312"/>
          <w:bCs/>
          <w:sz w:val="32"/>
          <w:szCs w:val="32"/>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664" w:tblpY="105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0DB3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24BA1BBD">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西安市生态环境保护综合执法支队临潼大队、西安鲁达环保科技有限公司</w:t>
            </w:r>
          </w:p>
        </w:tc>
      </w:tr>
    </w:tbl>
    <w:p w14:paraId="690EA8D4">
      <w:pPr>
        <w:spacing w:line="576" w:lineRule="exact"/>
        <w:ind w:firstLine="4960" w:firstLineChars="1550"/>
        <w:jc w:val="left"/>
        <w:rPr>
          <w:rFonts w:hint="default" w:eastAsia="仿宋_GB2312"/>
          <w:bCs/>
          <w:sz w:val="32"/>
          <w:szCs w:val="32"/>
        </w:rPr>
      </w:pPr>
      <w:bookmarkStart w:id="0" w:name="_GoBack"/>
      <w:bookmarkEnd w:id="0"/>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8</w:t>
      </w:r>
      <w:r>
        <w:rPr>
          <w:rFonts w:hint="default" w:eastAsia="仿宋_GB2312"/>
          <w:bCs/>
          <w:sz w:val="32"/>
          <w:szCs w:val="32"/>
        </w:rPr>
        <w:t>月</w:t>
      </w:r>
      <w:r>
        <w:rPr>
          <w:rFonts w:hint="eastAsia" w:eastAsia="仿宋_GB2312"/>
          <w:bCs/>
          <w:sz w:val="32"/>
          <w:szCs w:val="32"/>
          <w:lang w:val="en-US" w:eastAsia="zh-CN"/>
        </w:rPr>
        <w:t>26</w:t>
      </w:r>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1C1691A"/>
    <w:rsid w:val="0F58051A"/>
    <w:rsid w:val="142F698D"/>
    <w:rsid w:val="21043D51"/>
    <w:rsid w:val="28851357"/>
    <w:rsid w:val="511E1E07"/>
    <w:rsid w:val="58815B21"/>
    <w:rsid w:val="761F2D26"/>
    <w:rsid w:val="79DC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929</Words>
  <Characters>974</Characters>
  <Lines>0</Lines>
  <Paragraphs>0</Paragraphs>
  <TotalTime>18</TotalTime>
  <ScaleCrop>false</ScaleCrop>
  <LinksUpToDate>false</LinksUpToDate>
  <CharactersWithSpaces>1005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2025-08-26T03:30:19Z</cp:lastPrinted>
  <dcterms:modified xsi:type="dcterms:W3CDTF">2025-08-26T03:43:49Z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