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FAF10">
      <w:pPr>
        <w:spacing w:line="276" w:lineRule="auto"/>
        <w:jc w:val="center"/>
        <w:rPr>
          <w:rFonts w:hint="default" w:eastAsia="仿宋_GB2312"/>
          <w:sz w:val="36"/>
          <w:szCs w:val="36"/>
        </w:rPr>
      </w:pPr>
    </w:p>
    <w:p w14:paraId="49104F11">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10E58B39">
      <w:pPr>
        <w:snapToGrid w:val="0"/>
        <w:spacing w:afterLines="50" w:line="360" w:lineRule="auto"/>
        <w:jc w:val="center"/>
        <w:rPr>
          <w:rFonts w:hint="default" w:eastAsia="仿宋_GB2312"/>
          <w:sz w:val="44"/>
          <w:szCs w:val="44"/>
        </w:rPr>
      </w:pPr>
    </w:p>
    <w:p w14:paraId="61AB49A6">
      <w:pPr>
        <w:snapToGrid w:val="0"/>
        <w:spacing w:afterLines="50" w:line="300" w:lineRule="auto"/>
        <w:jc w:val="center"/>
        <w:rPr>
          <w:rFonts w:hint="default" w:eastAsia="仿宋_GB2312"/>
          <w:sz w:val="28"/>
          <w:szCs w:val="28"/>
        </w:rPr>
      </w:pPr>
    </w:p>
    <w:p w14:paraId="6BA38915">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w:t>
      </w:r>
      <w:r>
        <w:rPr>
          <w:rFonts w:hint="eastAsia" w:eastAsia="仿宋_GB2312"/>
          <w:sz w:val="32"/>
          <w:szCs w:val="32"/>
          <w:lang w:val="en-US" w:eastAsia="zh-CN"/>
        </w:rPr>
        <w:t>5</w:t>
      </w:r>
      <w:r>
        <w:rPr>
          <w:rFonts w:hint="default" w:eastAsia="仿宋_GB2312"/>
          <w:sz w:val="32"/>
          <w:szCs w:val="32"/>
        </w:rPr>
        <w:t>〕</w:t>
      </w:r>
      <w:r>
        <w:rPr>
          <w:rFonts w:hint="eastAsia" w:eastAsia="仿宋_GB2312"/>
          <w:sz w:val="32"/>
          <w:szCs w:val="32"/>
          <w:lang w:val="en-US" w:eastAsia="zh-CN"/>
        </w:rPr>
        <w:t>15</w:t>
      </w:r>
      <w:r>
        <w:rPr>
          <w:rFonts w:hint="default" w:eastAsia="仿宋_GB2312"/>
          <w:sz w:val="32"/>
          <w:szCs w:val="32"/>
        </w:rPr>
        <w:t>号</w:t>
      </w:r>
    </w:p>
    <w:p w14:paraId="160ACA95">
      <w:pPr>
        <w:spacing w:line="276" w:lineRule="auto"/>
        <w:jc w:val="center"/>
        <w:rPr>
          <w:rFonts w:hint="default" w:eastAsia="仿宋_GB2312"/>
          <w:szCs w:val="21"/>
        </w:rPr>
      </w:pPr>
    </w:p>
    <w:p w14:paraId="5B3B8783">
      <w:pPr>
        <w:spacing w:line="276" w:lineRule="auto"/>
        <w:jc w:val="center"/>
        <w:rPr>
          <w:rFonts w:hint="default" w:eastAsia="仿宋_GB2312"/>
          <w:szCs w:val="21"/>
        </w:rPr>
      </w:pPr>
    </w:p>
    <w:p w14:paraId="4D0F39BB">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74A803C1">
      <w:pPr>
        <w:widowControl/>
        <w:jc w:val="center"/>
        <w:rPr>
          <w:rFonts w:hint="default" w:eastAsia="微软简标宋"/>
          <w:spacing w:val="-15"/>
          <w:sz w:val="44"/>
          <w:szCs w:val="44"/>
        </w:rPr>
      </w:pPr>
      <w:r>
        <w:rPr>
          <w:rFonts w:hint="default" w:eastAsia="微软简标宋"/>
          <w:spacing w:val="-15"/>
          <w:sz w:val="44"/>
          <w:szCs w:val="44"/>
        </w:rPr>
        <w:t>关于PE.PP管材及家庭用塑料袋生产项目环境影响报告表的批复</w:t>
      </w:r>
    </w:p>
    <w:p w14:paraId="44809174">
      <w:pPr>
        <w:widowControl/>
        <w:snapToGrid w:val="0"/>
        <w:spacing w:before="120" w:line="276" w:lineRule="auto"/>
        <w:jc w:val="center"/>
        <w:rPr>
          <w:rFonts w:hint="default"/>
          <w:sz w:val="32"/>
          <w:szCs w:val="32"/>
        </w:rPr>
      </w:pPr>
    </w:p>
    <w:p w14:paraId="2710F0BF">
      <w:pPr>
        <w:widowControl/>
        <w:spacing w:line="560" w:lineRule="exact"/>
        <w:rPr>
          <w:rFonts w:hint="default" w:eastAsia="仿宋_GB2312"/>
          <w:bCs/>
          <w:sz w:val="32"/>
          <w:szCs w:val="32"/>
        </w:rPr>
      </w:pPr>
      <w:r>
        <w:rPr>
          <w:rFonts w:hint="default" w:eastAsia="仿宋_GB2312"/>
          <w:bCs/>
          <w:sz w:val="32"/>
          <w:szCs w:val="32"/>
        </w:rPr>
        <w:t>西安市临潼区瀛凯塑料制品有限公司：</w:t>
      </w:r>
    </w:p>
    <w:p w14:paraId="62F1B5FB">
      <w:pPr>
        <w:widowControl/>
        <w:spacing w:line="560" w:lineRule="exact"/>
        <w:ind w:firstLine="640" w:firstLineChars="200"/>
        <w:rPr>
          <w:rFonts w:hint="default" w:eastAsia="仿宋_GB2312"/>
          <w:bCs/>
          <w:sz w:val="32"/>
          <w:szCs w:val="32"/>
        </w:rPr>
      </w:pPr>
      <w:r>
        <w:rPr>
          <w:rFonts w:hint="default" w:eastAsia="仿宋_GB2312"/>
          <w:bCs/>
          <w:sz w:val="32"/>
          <w:szCs w:val="32"/>
        </w:rPr>
        <w:t>你</w:t>
      </w:r>
      <w:r>
        <w:rPr>
          <w:rFonts w:hint="eastAsia" w:eastAsia="仿宋_GB2312"/>
          <w:bCs/>
          <w:sz w:val="32"/>
          <w:szCs w:val="32"/>
          <w:lang w:val="en-US" w:eastAsia="zh-CN"/>
        </w:rPr>
        <w:t>公司</w:t>
      </w:r>
      <w:r>
        <w:rPr>
          <w:rFonts w:hint="default" w:eastAsia="仿宋_GB2312"/>
          <w:bCs/>
          <w:sz w:val="32"/>
          <w:szCs w:val="32"/>
        </w:rPr>
        <w:t>《PE.PP管材及家庭用塑料袋生产项目环境影响报告表》（以下简称《报告表》）收悉，结合西安市环境保护科学研究院对《报告表》的技术评估意见（市评估函〔202</w:t>
      </w:r>
      <w:r>
        <w:rPr>
          <w:rFonts w:hint="eastAsia" w:eastAsia="仿宋_GB2312"/>
          <w:bCs/>
          <w:sz w:val="32"/>
          <w:szCs w:val="32"/>
          <w:lang w:val="en-US" w:eastAsia="zh-CN"/>
        </w:rPr>
        <w:t>5</w:t>
      </w:r>
      <w:r>
        <w:rPr>
          <w:rFonts w:hint="default" w:eastAsia="仿宋_GB2312"/>
          <w:bCs/>
          <w:sz w:val="32"/>
          <w:szCs w:val="32"/>
        </w:rPr>
        <w:t>〕</w:t>
      </w:r>
      <w:r>
        <w:rPr>
          <w:rFonts w:hint="eastAsia" w:eastAsia="仿宋_GB2312"/>
          <w:bCs/>
          <w:sz w:val="32"/>
          <w:szCs w:val="32"/>
          <w:lang w:val="en-US" w:eastAsia="zh-CN"/>
        </w:rPr>
        <w:t>105</w:t>
      </w:r>
      <w:r>
        <w:rPr>
          <w:rFonts w:hint="default" w:eastAsia="仿宋_GB2312"/>
          <w:bCs/>
          <w:sz w:val="32"/>
          <w:szCs w:val="32"/>
        </w:rPr>
        <w:t>号）</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487C053E">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w:t>
      </w:r>
      <w:r>
        <w:rPr>
          <w:rFonts w:hint="default" w:eastAsia="仿宋_GB2312"/>
          <w:bCs/>
          <w:sz w:val="32"/>
          <w:szCs w:val="32"/>
          <w:lang w:val="en-US" w:eastAsia="zh-CN"/>
        </w:rPr>
        <w:t>项目</w:t>
      </w:r>
      <w:r>
        <w:rPr>
          <w:rFonts w:hint="eastAsia" w:eastAsia="仿宋_GB2312"/>
          <w:bCs/>
          <w:sz w:val="32"/>
          <w:szCs w:val="32"/>
          <w:lang w:val="en-US" w:eastAsia="zh-CN"/>
        </w:rPr>
        <w:t>扩建聚乙烯PE聚丙烯PP通信电力灌溉管材产品。年产量5500吨，增加9条管材生产线。同时扩建拌料机6台，破碎机3台等辅助设备</w:t>
      </w:r>
      <w:r>
        <w:rPr>
          <w:rFonts w:hint="default" w:eastAsia="仿宋_GB2312"/>
          <w:bCs/>
          <w:sz w:val="32"/>
          <w:szCs w:val="32"/>
          <w:lang w:val="en-US" w:eastAsia="zh-CN"/>
        </w:rPr>
        <w:t>。</w:t>
      </w:r>
      <w:r>
        <w:rPr>
          <w:rFonts w:hint="default" w:eastAsia="仿宋_GB2312"/>
          <w:bCs/>
          <w:sz w:val="32"/>
          <w:szCs w:val="32"/>
        </w:rPr>
        <w:t>项目总投资</w:t>
      </w:r>
      <w:r>
        <w:rPr>
          <w:rFonts w:hint="eastAsia" w:eastAsia="仿宋_GB2312"/>
          <w:bCs/>
          <w:sz w:val="32"/>
          <w:szCs w:val="32"/>
          <w:lang w:val="en-US" w:eastAsia="zh-CN"/>
        </w:rPr>
        <w:t>200</w:t>
      </w:r>
      <w:r>
        <w:rPr>
          <w:rFonts w:hint="default" w:eastAsia="仿宋_GB2312"/>
          <w:bCs/>
          <w:sz w:val="32"/>
          <w:szCs w:val="32"/>
        </w:rPr>
        <w:t>万元，其中环保投资</w:t>
      </w:r>
      <w:r>
        <w:rPr>
          <w:rFonts w:hint="eastAsia" w:eastAsia="仿宋_GB2312"/>
          <w:bCs/>
          <w:sz w:val="32"/>
          <w:szCs w:val="32"/>
          <w:lang w:val="en-US" w:eastAsia="zh-CN"/>
        </w:rPr>
        <w:t>30</w:t>
      </w:r>
      <w:r>
        <w:rPr>
          <w:rFonts w:hint="default" w:eastAsia="仿宋_GB2312"/>
          <w:bCs/>
          <w:sz w:val="32"/>
          <w:szCs w:val="32"/>
        </w:rPr>
        <w:t>万元。</w:t>
      </w:r>
    </w:p>
    <w:p w14:paraId="289B71D8">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1A3FC7D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780E7143">
      <w:pPr>
        <w:spacing w:line="560" w:lineRule="exact"/>
        <w:ind w:firstLine="640" w:firstLineChars="200"/>
        <w:rPr>
          <w:rFonts w:hint="eastAsia" w:eastAsia="仿宋_GB2312"/>
          <w:bCs/>
          <w:sz w:val="32"/>
          <w:szCs w:val="32"/>
          <w:lang w:eastAsia="zh-CN"/>
        </w:rPr>
      </w:pPr>
      <w:r>
        <w:rPr>
          <w:rFonts w:hint="default" w:eastAsia="仿宋_GB2312"/>
          <w:bCs/>
          <w:sz w:val="32"/>
          <w:szCs w:val="32"/>
        </w:rPr>
        <w:t>（一）严格落实大气污染防治措施。</w:t>
      </w:r>
      <w:r>
        <w:rPr>
          <w:rFonts w:hint="default" w:eastAsia="仿宋_GB2312"/>
          <w:bCs/>
          <w:sz w:val="32"/>
          <w:szCs w:val="32"/>
          <w:lang w:val="en-US" w:eastAsia="zh-CN"/>
        </w:rPr>
        <w:t>挤出</w:t>
      </w:r>
      <w:r>
        <w:rPr>
          <w:rFonts w:hint="eastAsia" w:eastAsia="仿宋_GB2312"/>
          <w:bCs/>
          <w:sz w:val="32"/>
          <w:szCs w:val="32"/>
          <w:lang w:val="en-US" w:eastAsia="zh-CN"/>
        </w:rPr>
        <w:t>产生</w:t>
      </w:r>
      <w:r>
        <w:rPr>
          <w:rFonts w:hint="default" w:eastAsia="仿宋_GB2312"/>
          <w:bCs/>
          <w:sz w:val="32"/>
          <w:szCs w:val="32"/>
          <w:lang w:val="en-US" w:eastAsia="zh-CN"/>
        </w:rPr>
        <w:t>非甲烷总烃</w:t>
      </w:r>
      <w:r>
        <w:rPr>
          <w:rFonts w:hint="default" w:eastAsia="仿宋_GB2312"/>
          <w:bCs/>
          <w:sz w:val="32"/>
          <w:szCs w:val="32"/>
        </w:rPr>
        <w:t>经集气</w:t>
      </w:r>
      <w:r>
        <w:rPr>
          <w:rFonts w:hint="default" w:eastAsia="仿宋_GB2312"/>
          <w:bCs/>
          <w:sz w:val="32"/>
          <w:szCs w:val="32"/>
          <w:lang w:val="en-US" w:eastAsia="zh-CN"/>
        </w:rPr>
        <w:t>设施</w:t>
      </w:r>
      <w:r>
        <w:rPr>
          <w:rFonts w:hint="default" w:eastAsia="仿宋_GB2312"/>
          <w:bCs/>
          <w:sz w:val="32"/>
          <w:szCs w:val="32"/>
        </w:rPr>
        <w:t>收集后由二级活性炭吸附装置+15m高排气筒</w:t>
      </w:r>
      <w:r>
        <w:rPr>
          <w:rFonts w:hint="default" w:eastAsia="仿宋_GB2312"/>
          <w:bCs/>
          <w:sz w:val="32"/>
          <w:szCs w:val="32"/>
          <w:lang w:val="en-US" w:eastAsia="zh-CN"/>
        </w:rPr>
        <w:t>DA001</w:t>
      </w:r>
      <w:r>
        <w:rPr>
          <w:rFonts w:hint="default" w:eastAsia="仿宋_GB2312"/>
          <w:bCs/>
          <w:sz w:val="32"/>
          <w:szCs w:val="32"/>
        </w:rPr>
        <w:t>排放；</w:t>
      </w:r>
      <w:r>
        <w:rPr>
          <w:rFonts w:hint="default" w:eastAsia="仿宋_GB2312"/>
          <w:bCs/>
          <w:sz w:val="32"/>
          <w:szCs w:val="32"/>
          <w:lang w:val="en-US" w:eastAsia="zh-CN"/>
        </w:rPr>
        <w:t>破碎</w:t>
      </w:r>
      <w:r>
        <w:rPr>
          <w:rFonts w:hint="eastAsia" w:eastAsia="仿宋_GB2312"/>
          <w:bCs/>
          <w:sz w:val="32"/>
          <w:szCs w:val="32"/>
          <w:lang w:val="en-US" w:eastAsia="zh-CN"/>
        </w:rPr>
        <w:t>产生</w:t>
      </w:r>
      <w:r>
        <w:rPr>
          <w:rFonts w:hint="default" w:eastAsia="仿宋_GB2312"/>
          <w:bCs/>
          <w:sz w:val="32"/>
          <w:szCs w:val="32"/>
          <w:lang w:val="en-US" w:eastAsia="zh-CN"/>
        </w:rPr>
        <w:t>少量破碎颗粒物</w:t>
      </w:r>
      <w:r>
        <w:rPr>
          <w:rFonts w:hint="eastAsia" w:eastAsia="仿宋_GB2312"/>
          <w:bCs/>
          <w:sz w:val="32"/>
          <w:szCs w:val="32"/>
          <w:lang w:val="en-US" w:eastAsia="zh-CN"/>
        </w:rPr>
        <w:t>无组织排放；食堂油烟经油烟净化器处理后再由专用排烟道排出</w:t>
      </w:r>
      <w:r>
        <w:rPr>
          <w:rFonts w:hint="eastAsia" w:eastAsia="仿宋_GB2312"/>
          <w:bCs/>
          <w:sz w:val="32"/>
          <w:szCs w:val="32"/>
          <w:lang w:eastAsia="zh-CN"/>
        </w:rPr>
        <w:t>。</w:t>
      </w:r>
    </w:p>
    <w:p w14:paraId="6C3802D7">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（二）严格落实水污染防治措施。生产冷却水循环使用</w:t>
      </w:r>
      <w:r>
        <w:rPr>
          <w:rFonts w:hint="default" w:eastAsia="仿宋_GB2312"/>
          <w:bCs/>
          <w:sz w:val="32"/>
          <w:szCs w:val="32"/>
          <w:lang w:eastAsia="zh-CN"/>
        </w:rPr>
        <w:t>，</w:t>
      </w:r>
      <w:r>
        <w:rPr>
          <w:rFonts w:hint="default" w:eastAsia="仿宋_GB2312"/>
          <w:bCs/>
          <w:sz w:val="32"/>
          <w:szCs w:val="32"/>
          <w:lang w:val="en-US" w:eastAsia="zh-CN"/>
        </w:rPr>
        <w:t>定期添加，不外排</w:t>
      </w:r>
      <w:r>
        <w:rPr>
          <w:rFonts w:hint="eastAsia" w:eastAsia="仿宋_GB2312"/>
          <w:bCs/>
          <w:sz w:val="32"/>
          <w:szCs w:val="32"/>
          <w:lang w:val="en-US" w:eastAsia="zh-CN"/>
        </w:rPr>
        <w:t>；</w:t>
      </w:r>
      <w:r>
        <w:rPr>
          <w:rFonts w:hint="default" w:eastAsia="仿宋_GB2312"/>
          <w:bCs/>
          <w:sz w:val="32"/>
          <w:szCs w:val="32"/>
        </w:rPr>
        <w:t>餐饮废水经油水分离器处理，汇同生活污水</w:t>
      </w:r>
      <w:r>
        <w:rPr>
          <w:rFonts w:hint="default" w:eastAsia="仿宋_GB2312"/>
          <w:bCs/>
          <w:sz w:val="32"/>
          <w:szCs w:val="32"/>
          <w:lang w:val="en-US" w:eastAsia="zh-CN"/>
        </w:rPr>
        <w:t>排入厂区内化粪池</w:t>
      </w:r>
      <w:r>
        <w:rPr>
          <w:rFonts w:hint="default" w:eastAsia="仿宋_GB2312"/>
          <w:bCs/>
          <w:sz w:val="32"/>
          <w:szCs w:val="32"/>
        </w:rPr>
        <w:t>，由周围农户定期清掏，用于农田施肥</w:t>
      </w:r>
      <w:r>
        <w:rPr>
          <w:rFonts w:hint="eastAsia" w:eastAsia="仿宋_GB2312"/>
          <w:bCs/>
          <w:sz w:val="32"/>
          <w:szCs w:val="32"/>
          <w:lang w:val="en-US" w:eastAsia="zh-CN"/>
        </w:rPr>
        <w:t>。</w:t>
      </w:r>
    </w:p>
    <w:p w14:paraId="1E230259">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w:t>
      </w:r>
      <w:r>
        <w:rPr>
          <w:rFonts w:hint="default" w:eastAsia="仿宋_GB2312"/>
          <w:sz w:val="32"/>
          <w:szCs w:val="32"/>
        </w:rPr>
        <w:t>优化厂区平面布置</w:t>
      </w:r>
      <w:r>
        <w:rPr>
          <w:rFonts w:hint="eastAsia" w:eastAsia="仿宋_GB2312"/>
          <w:sz w:val="32"/>
          <w:szCs w:val="32"/>
          <w:lang w:eastAsia="zh-CN"/>
        </w:rPr>
        <w:t>。</w:t>
      </w:r>
      <w:r>
        <w:rPr>
          <w:rFonts w:hint="eastAsia" w:eastAsia="仿宋_GB2312"/>
          <w:sz w:val="32"/>
          <w:szCs w:val="32"/>
          <w:lang w:val="en-US" w:eastAsia="zh-CN"/>
        </w:rPr>
        <w:t>采取</w:t>
      </w:r>
      <w:r>
        <w:rPr>
          <w:rFonts w:hint="eastAsia" w:eastAsia="仿宋_GB2312"/>
          <w:sz w:val="32"/>
          <w:szCs w:val="32"/>
          <w:lang w:eastAsia="zh-CN"/>
        </w:rPr>
        <w:t>选用低噪声设备、合理布局，加强设备保养维护、</w:t>
      </w:r>
      <w:r>
        <w:rPr>
          <w:rFonts w:hint="eastAsia" w:eastAsia="仿宋_GB2312"/>
          <w:sz w:val="32"/>
          <w:szCs w:val="32"/>
          <w:lang w:val="en-US" w:eastAsia="zh-CN"/>
        </w:rPr>
        <w:t>厂房隔声、基础减震</w:t>
      </w:r>
      <w:r>
        <w:rPr>
          <w:rFonts w:hint="eastAsia" w:eastAsia="仿宋_GB2312"/>
          <w:sz w:val="32"/>
          <w:szCs w:val="32"/>
          <w:lang w:eastAsia="zh-CN"/>
        </w:rPr>
        <w:t>等措施，确保工业场地厂界噪声达标</w:t>
      </w:r>
      <w:r>
        <w:rPr>
          <w:rFonts w:eastAsia="仿宋_GB2312"/>
          <w:bCs/>
          <w:sz w:val="32"/>
          <w:szCs w:val="32"/>
        </w:rPr>
        <w:t>。</w:t>
      </w:r>
    </w:p>
    <w:p w14:paraId="350B261D">
      <w:pPr>
        <w:widowControl/>
        <w:adjustRightInd w:val="0"/>
        <w:snapToGrid w:val="0"/>
        <w:spacing w:line="560" w:lineRule="exact"/>
        <w:ind w:firstLine="640" w:firstLineChars="200"/>
        <w:rPr>
          <w:rFonts w:eastAsia="仿宋_GB2312"/>
          <w:bCs/>
          <w:sz w:val="32"/>
          <w:szCs w:val="32"/>
        </w:rPr>
      </w:pPr>
      <w:r>
        <w:rPr>
          <w:rFonts w:hint="default" w:eastAsia="仿宋_GB2312"/>
          <w:bCs/>
          <w:sz w:val="32"/>
          <w:szCs w:val="32"/>
        </w:rPr>
        <w:t>（四）合规处置各类固体废物。危险废物分类收集贮存，委托有资质单位处置；一般工业固体废物合规处置；生活垃圾分类收集，由环卫部门</w:t>
      </w:r>
      <w:r>
        <w:rPr>
          <w:rFonts w:hint="eastAsia" w:eastAsia="仿宋_GB2312"/>
          <w:bCs/>
          <w:sz w:val="32"/>
          <w:szCs w:val="32"/>
          <w:lang w:val="en-US" w:eastAsia="zh-CN"/>
        </w:rPr>
        <w:t>统一</w:t>
      </w:r>
      <w:r>
        <w:rPr>
          <w:rFonts w:hint="default" w:eastAsia="仿宋_GB2312"/>
          <w:bCs/>
          <w:sz w:val="32"/>
          <w:szCs w:val="32"/>
        </w:rPr>
        <w:t>清运</w:t>
      </w:r>
      <w:r>
        <w:rPr>
          <w:rFonts w:eastAsia="仿宋_GB2312"/>
          <w:bCs/>
          <w:sz w:val="32"/>
          <w:szCs w:val="32"/>
        </w:rPr>
        <w:t>。</w:t>
      </w:r>
    </w:p>
    <w:p w14:paraId="3D34F404">
      <w:pPr>
        <w:widowControl/>
        <w:adjustRightInd w:val="0"/>
        <w:snapToGrid w:val="0"/>
        <w:spacing w:line="560" w:lineRule="exact"/>
        <w:ind w:firstLine="640" w:firstLineChars="200"/>
        <w:rPr>
          <w:rFonts w:eastAsia="仿宋_GB2312"/>
          <w:bCs/>
          <w:sz w:val="32"/>
          <w:szCs w:val="32"/>
        </w:rPr>
      </w:pPr>
      <w:r>
        <w:rPr>
          <w:rFonts w:hint="eastAsia" w:eastAsia="仿宋_GB2312"/>
          <w:bCs/>
          <w:sz w:val="32"/>
          <w:szCs w:val="32"/>
        </w:rPr>
        <w:t>（五）增强环境风险防范意识。严格落实《报告表》提出的环境风险防范措施，按要求编制环境风险应急预案，报我局备案。</w:t>
      </w:r>
    </w:p>
    <w:p w14:paraId="6464D4EA">
      <w:pPr>
        <w:pStyle w:val="5"/>
        <w:adjustRightInd w:val="0"/>
        <w:snapToGrid w:val="0"/>
        <w:spacing w:after="0" w:line="576" w:lineRule="exact"/>
        <w:ind w:firstLine="640" w:firstLineChars="200"/>
        <w:rPr>
          <w:rFonts w:hint="default" w:eastAsia="仿宋_GB2312"/>
          <w:bCs/>
          <w:sz w:val="32"/>
          <w:szCs w:val="32"/>
        </w:rPr>
      </w:pPr>
      <w:r>
        <w:rPr>
          <w:rFonts w:eastAsia="仿宋_GB2312"/>
          <w:bCs/>
          <w:sz w:val="32"/>
          <w:szCs w:val="32"/>
        </w:rPr>
        <w:t>四、</w:t>
      </w:r>
      <w:r>
        <w:rPr>
          <w:rFonts w:hint="default" w:eastAsia="仿宋_GB2312"/>
          <w:bCs/>
          <w:sz w:val="32"/>
          <w:szCs w:val="32"/>
        </w:rPr>
        <w:t>项目在建设过程中，你</w:t>
      </w:r>
      <w:r>
        <w:rPr>
          <w:rFonts w:hint="eastAsia" w:eastAsia="仿宋_GB2312"/>
          <w:bCs/>
          <w:sz w:val="32"/>
          <w:szCs w:val="32"/>
          <w:lang w:val="en-US" w:eastAsia="zh-CN"/>
        </w:rPr>
        <w:t>公司</w:t>
      </w:r>
      <w:r>
        <w:rPr>
          <w:rFonts w:hint="default" w:eastAsia="仿宋_GB2312"/>
          <w:bCs/>
          <w:sz w:val="32"/>
          <w:szCs w:val="32"/>
        </w:rPr>
        <w:t>应严格执行环保</w:t>
      </w:r>
      <w:r>
        <w:rPr>
          <w:rFonts w:eastAsia="仿宋_GB2312"/>
          <w:bCs/>
          <w:sz w:val="32"/>
          <w:szCs w:val="32"/>
        </w:rPr>
        <w:t>“</w:t>
      </w:r>
      <w:r>
        <w:rPr>
          <w:rFonts w:hint="default" w:eastAsia="仿宋_GB2312"/>
          <w:bCs/>
          <w:sz w:val="32"/>
          <w:szCs w:val="32"/>
        </w:rPr>
        <w:t>三同时</w:t>
      </w:r>
      <w:r>
        <w:rPr>
          <w:rFonts w:eastAsia="仿宋_GB2312"/>
          <w:bCs/>
          <w:sz w:val="32"/>
          <w:szCs w:val="32"/>
        </w:rPr>
        <w:t>”</w:t>
      </w:r>
      <w:r>
        <w:rPr>
          <w:rFonts w:hint="default" w:eastAsia="仿宋_GB2312"/>
          <w:bCs/>
          <w:sz w:val="32"/>
          <w:szCs w:val="32"/>
        </w:rPr>
        <w:t>制度。项目建成后应按要求和规定程序办理排污许可手续和开展竣工环境保护验收。</w:t>
      </w:r>
    </w:p>
    <w:p w14:paraId="09695684">
      <w:pPr>
        <w:spacing w:line="576" w:lineRule="exact"/>
        <w:ind w:firstLine="4160" w:firstLineChars="1300"/>
        <w:jc w:val="left"/>
        <w:rPr>
          <w:rFonts w:hint="default" w:eastAsia="仿宋_GB2312"/>
          <w:bCs/>
          <w:sz w:val="32"/>
          <w:szCs w:val="32"/>
        </w:rPr>
      </w:pPr>
      <w:bookmarkStart w:id="0" w:name="_GoBack"/>
      <w:bookmarkEnd w:id="0"/>
    </w:p>
    <w:p w14:paraId="35B4C34D">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tbl>
      <w:tblPr>
        <w:tblStyle w:val="6"/>
        <w:tblpPr w:leftFromText="180" w:rightFromText="180" w:vertAnchor="text" w:horzAnchor="page" w:tblpX="1678" w:tblpY="89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43C85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310B101F">
            <w:pPr>
              <w:autoSpaceDN w:val="0"/>
              <w:spacing w:line="520" w:lineRule="exact"/>
              <w:rPr>
                <w:rFonts w:hint="default" w:eastAsia="仿宋"/>
                <w:bCs/>
                <w:sz w:val="32"/>
                <w:szCs w:val="32"/>
                <w:lang w:val="en-US" w:eastAsia="zh-CN"/>
              </w:rPr>
            </w:pPr>
            <w:r>
              <w:rPr>
                <w:rFonts w:hint="default" w:hAnsi="仿宋" w:eastAsia="仿宋"/>
                <w:bCs/>
                <w:sz w:val="32"/>
                <w:szCs w:val="32"/>
              </w:rPr>
              <w:t>抄送：</w:t>
            </w:r>
            <w:r>
              <w:rPr>
                <w:rFonts w:hAnsi="仿宋" w:eastAsia="仿宋"/>
                <w:bCs/>
                <w:sz w:val="32"/>
                <w:szCs w:val="32"/>
              </w:rPr>
              <w:t>西安市生态环境保护综合执法支队临潼大队、信电综合勘察设计研究院有限公司</w:t>
            </w:r>
          </w:p>
        </w:tc>
      </w:tr>
    </w:tbl>
    <w:p w14:paraId="690EA8D4">
      <w:pPr>
        <w:spacing w:line="576" w:lineRule="exact"/>
        <w:ind w:firstLine="4960" w:firstLineChars="1550"/>
        <w:jc w:val="left"/>
        <w:rPr>
          <w:rFonts w:hint="default" w:eastAsia="仿宋_GB2312"/>
          <w:bCs/>
          <w:sz w:val="32"/>
          <w:szCs w:val="32"/>
        </w:rPr>
      </w:pPr>
      <w:r>
        <w:rPr>
          <w:rFonts w:hint="default" w:eastAsia="仿宋_GB2312"/>
          <w:bCs/>
          <w:sz w:val="32"/>
          <w:szCs w:val="32"/>
        </w:rPr>
        <w:t>20</w:t>
      </w:r>
      <w:r>
        <w:rPr>
          <w:rFonts w:eastAsia="仿宋_GB2312"/>
          <w:bCs/>
          <w:sz w:val="32"/>
          <w:szCs w:val="32"/>
        </w:rPr>
        <w:t>2</w:t>
      </w:r>
      <w:r>
        <w:rPr>
          <w:rFonts w:hint="eastAsia" w:eastAsia="仿宋_GB2312"/>
          <w:bCs/>
          <w:sz w:val="32"/>
          <w:szCs w:val="32"/>
          <w:lang w:val="en-US" w:eastAsia="zh-CN"/>
        </w:rPr>
        <w:t>5</w:t>
      </w:r>
      <w:r>
        <w:rPr>
          <w:rFonts w:hint="default" w:eastAsia="仿宋_GB2312"/>
          <w:bCs/>
          <w:sz w:val="32"/>
          <w:szCs w:val="32"/>
        </w:rPr>
        <w:t>年</w:t>
      </w:r>
      <w:r>
        <w:rPr>
          <w:rFonts w:hint="eastAsia" w:eastAsia="仿宋_GB2312"/>
          <w:bCs/>
          <w:sz w:val="32"/>
          <w:szCs w:val="32"/>
          <w:lang w:val="en-US" w:eastAsia="zh-CN"/>
        </w:rPr>
        <w:t>8</w:t>
      </w:r>
      <w:r>
        <w:rPr>
          <w:rFonts w:hint="default" w:eastAsia="仿宋_GB2312"/>
          <w:bCs/>
          <w:sz w:val="32"/>
          <w:szCs w:val="32"/>
        </w:rPr>
        <w:t>月</w:t>
      </w:r>
      <w:r>
        <w:rPr>
          <w:rFonts w:hint="eastAsia" w:eastAsia="仿宋_GB2312"/>
          <w:bCs/>
          <w:sz w:val="32"/>
          <w:szCs w:val="32"/>
          <w:lang w:val="en-US" w:eastAsia="zh-CN"/>
        </w:rPr>
        <w:t>28</w:t>
      </w:r>
      <w:r>
        <w:rPr>
          <w:rFonts w:hint="default" w:eastAsia="仿宋_GB2312"/>
          <w:bCs/>
          <w:sz w:val="32"/>
          <w:szCs w:val="32"/>
        </w:rPr>
        <w:t>日</w:t>
      </w:r>
    </w:p>
    <w:sectPr>
      <w:footerReference r:id="rId3" w:type="default"/>
      <w:pgSz w:w="11906" w:h="16838"/>
      <w:pgMar w:top="1417" w:right="1644" w:bottom="1440" w:left="164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8D90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1E1E07"/>
    <w:rsid w:val="01C1691A"/>
    <w:rsid w:val="0F58051A"/>
    <w:rsid w:val="142F698D"/>
    <w:rsid w:val="21043D51"/>
    <w:rsid w:val="28851357"/>
    <w:rsid w:val="3408312A"/>
    <w:rsid w:val="511E1E07"/>
    <w:rsid w:val="58815B21"/>
    <w:rsid w:val="761F2D26"/>
    <w:rsid w:val="79DC4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w:basedOn w:val="2"/>
    <w:qFormat/>
    <w:uiPriority w:val="0"/>
    <w:pPr>
      <w:spacing w:after="120"/>
      <w:ind w:firstLine="420" w:firstLineChars="100"/>
      <w:jc w:val="both"/>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936</Words>
  <Characters>981</Characters>
  <Lines>0</Lines>
  <Paragraphs>0</Paragraphs>
  <TotalTime>2</TotalTime>
  <ScaleCrop>false</ScaleCrop>
  <LinksUpToDate>false</LinksUpToDate>
  <CharactersWithSpaces>1012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2025-05-15T02:09:00Z</dcterms:created>
  <dc:creator>离羽</dc:creator>
  <cp:lastModifiedBy>离羽</cp:lastModifiedBy>
  <cp:lastPrinted>2025-08-26T03:30:00Z</cp:lastPrinted>
  <dcterms:modified xsi:type="dcterms:W3CDTF">2025-08-27T07:51:39Z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E9A5F46524EA4DE2AB8D6FA8ABF50AA7_11</vt:lpwstr>
  </property>
  <property fmtid="{D5CDD505-2E9C-101B-9397-08002B2CF9AE}" pid="4" name="KSOTemplateDocerSaveRecord">
    <vt:lpwstr>eyJoZGlkIjoiYWU2NTY5MzQ5NzBlMGY0YWRjYTAzNmQyMjFjOTRmNmEiLCJ1c2VySWQiOiI5NjUwNDA1NTkifQ==</vt:lpwstr>
  </property>
</Properties>
</file>