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9AA650">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Times New Roman" w:hAnsi="Times New Roman" w:eastAsia="方正小标宋简体" w:cs="方正小标宋简体"/>
          <w:color w:val="auto"/>
          <w:sz w:val="44"/>
          <w:szCs w:val="44"/>
          <w:highlight w:val="none"/>
          <w:lang w:val="en-US" w:eastAsia="zh-CN"/>
        </w:rPr>
      </w:pPr>
      <w:r>
        <w:rPr>
          <w:rFonts w:hint="eastAsia" w:ascii="Times New Roman" w:hAnsi="Times New Roman" w:eastAsia="方正小标宋简体" w:cs="方正小标宋简体"/>
          <w:color w:val="auto"/>
          <w:sz w:val="44"/>
          <w:szCs w:val="44"/>
          <w:highlight w:val="none"/>
          <w:lang w:val="en-US" w:eastAsia="zh-CN"/>
        </w:rPr>
        <w:t>西安市临潼区</w:t>
      </w:r>
      <w:bookmarkStart w:id="0" w:name="_GoBack"/>
      <w:bookmarkEnd w:id="0"/>
      <w:r>
        <w:rPr>
          <w:rFonts w:hint="eastAsia" w:ascii="Times New Roman" w:hAnsi="Times New Roman" w:eastAsia="方正小标宋简体" w:cs="方正小标宋简体"/>
          <w:color w:val="auto"/>
          <w:sz w:val="44"/>
          <w:szCs w:val="44"/>
          <w:highlight w:val="none"/>
          <w:lang w:val="en-US" w:eastAsia="zh-CN"/>
        </w:rPr>
        <w:t>加强网云算数安新型基础设施</w:t>
      </w:r>
    </w:p>
    <w:p w14:paraId="1C045E38">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小标宋简体" w:cs="方正小标宋简体"/>
          <w:color w:val="auto"/>
          <w:sz w:val="44"/>
          <w:szCs w:val="44"/>
          <w:highlight w:val="none"/>
          <w:lang w:val="en-US" w:eastAsia="zh-CN"/>
        </w:rPr>
      </w:pPr>
      <w:r>
        <w:rPr>
          <w:rFonts w:hint="eastAsia" w:ascii="Times New Roman" w:hAnsi="Times New Roman" w:eastAsia="方正小标宋简体" w:cs="方正小标宋简体"/>
          <w:color w:val="auto"/>
          <w:sz w:val="44"/>
          <w:szCs w:val="44"/>
          <w:highlight w:val="none"/>
          <w:lang w:val="en-US" w:eastAsia="zh-CN"/>
        </w:rPr>
        <w:t>体系建设实施方案（2025—2026年）</w:t>
      </w:r>
    </w:p>
    <w:p w14:paraId="02BD44CD">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Times New Roman" w:hAnsi="Times New Roman" w:eastAsia="黑体" w:cs="黑体"/>
          <w:kern w:val="2"/>
          <w:sz w:val="32"/>
          <w:szCs w:val="32"/>
          <w:highlight w:val="none"/>
          <w:lang w:val="en-US" w:eastAsia="zh-CN" w:bidi="ar-SA"/>
        </w:rPr>
      </w:pPr>
    </w:p>
    <w:p w14:paraId="11C01F7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 w:cs="仿宋"/>
          <w:sz w:val="32"/>
          <w:szCs w:val="32"/>
          <w:highlight w:val="none"/>
          <w:lang w:val="en-US" w:eastAsia="zh-CN"/>
        </w:rPr>
      </w:pPr>
      <w:r>
        <w:rPr>
          <w:rFonts w:hint="eastAsia" w:ascii="Times New Roman" w:hAnsi="Times New Roman" w:eastAsia="仿宋_GB2312" w:cs="仿宋_GB2312"/>
          <w:sz w:val="32"/>
          <w:szCs w:val="32"/>
          <w:highlight w:val="none"/>
          <w:lang w:val="en-US" w:eastAsia="zh-CN"/>
        </w:rPr>
        <w:t>为深入贯彻落实国家和省市关于加强新型基础设施建设的工作部署，按照《西安市加强网云算数安新型基础设施体系建设实施方案（2025-2026年）》要求，推动我区数字政府、智慧城市、数字社会领域建设与市级紧密协同，促进城市全域数字化转型，立足区级职能定位，制定本实施方案。</w:t>
      </w:r>
    </w:p>
    <w:p w14:paraId="3343BFA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黑体" w:cs="黑体"/>
          <w:kern w:val="2"/>
          <w:sz w:val="32"/>
          <w:szCs w:val="32"/>
          <w:highlight w:val="none"/>
          <w:lang w:val="en-US" w:eastAsia="zh-CN" w:bidi="ar-SA"/>
        </w:rPr>
      </w:pPr>
      <w:r>
        <w:rPr>
          <w:rFonts w:hint="eastAsia" w:ascii="Times New Roman" w:hAnsi="Times New Roman" w:eastAsia="黑体" w:cs="黑体"/>
          <w:kern w:val="2"/>
          <w:sz w:val="32"/>
          <w:szCs w:val="32"/>
          <w:highlight w:val="none"/>
          <w:lang w:val="en-US" w:eastAsia="zh-CN" w:bidi="ar-SA"/>
        </w:rPr>
        <w:t>一、总体目标</w:t>
      </w:r>
    </w:p>
    <w:p w14:paraId="2590D84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按照“需求牵引、适度超前、共建共享、安全可控”原则，依托市级统建网、云、算、数、安新型基础设施体系，聚焦“配合实施、资源整合、服务保障”三大方向，推动多网融合接入应用、资源上云集约增效、AI智算应用多维赋能、数据资源归集利用、网络和数据安全保护，为全方位提升政府运行效率、公共服务水平、社会治理能力和数字经济发展提供强大基础支撑。</w:t>
      </w:r>
    </w:p>
    <w:p w14:paraId="294BBB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区数据和行政审批局负责牵头组织执行上级关于新型基础设施建设的技术标准，及时上报全区各行业部门新型基础设施建设需求。负责按照我区软硬一体联评联审方案，指导各部门做好新型基础设施建设和接入应用。负责统筹全区数据资源整合共享和开发利用，指导各单位开展数据供、需、服、运、管等相关工作。</w:t>
      </w:r>
    </w:p>
    <w:p w14:paraId="4A66AD3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区级各行业部门负责推广使用各领域各行业业务系统。负责梳理本领域本部门关于政务网络、政务云、政务大模型、数据底座平台、数据安全设施等共性基础设施需求及行业特殊基础设施需求，报送市级行业主管部门，同步报送区数据和行政审批局。负责在适配共性基础设施技术标准前提下，配合市级行业主管部门建设业务专用基础设施，建成后统一纳入全市基础设施监管体系，并做好相关基础设施的接入应用，配合做好本领域公共数据归集、开放、共享，实现跨部门跨层级共享互通与协同调度。</w:t>
      </w:r>
    </w:p>
    <w:p w14:paraId="1B71867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区委网信办、区委机要和保密局、区发改委、区财政局、公安临潼分局等根据自身职责，做好新型基础设施建设立项、资金申请及保障、网络和数据安全等监督管理工作。</w:t>
      </w:r>
    </w:p>
    <w:p w14:paraId="1158CDF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黑体" w:cs="黑体"/>
          <w:kern w:val="2"/>
          <w:sz w:val="32"/>
          <w:szCs w:val="32"/>
          <w:highlight w:val="none"/>
          <w:lang w:val="en-US" w:eastAsia="zh-CN" w:bidi="ar-SA"/>
        </w:rPr>
      </w:pPr>
      <w:r>
        <w:rPr>
          <w:rFonts w:hint="eastAsia" w:ascii="Times New Roman" w:hAnsi="Times New Roman" w:eastAsia="黑体" w:cs="黑体"/>
          <w:kern w:val="2"/>
          <w:sz w:val="32"/>
          <w:szCs w:val="32"/>
          <w:highlight w:val="none"/>
          <w:lang w:val="en-US" w:eastAsia="zh-CN" w:bidi="ar-SA"/>
        </w:rPr>
        <w:t>二、推动多网融合接入应用</w:t>
      </w:r>
    </w:p>
    <w:p w14:paraId="4EA0A3E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楷体" w:cs="楷体"/>
          <w:b w:val="0"/>
          <w:bCs w:val="0"/>
          <w:sz w:val="32"/>
          <w:szCs w:val="32"/>
          <w:highlight w:val="none"/>
          <w:lang w:val="en-US" w:eastAsia="zh-CN"/>
        </w:rPr>
      </w:pPr>
      <w:r>
        <w:rPr>
          <w:rFonts w:hint="eastAsia" w:ascii="Times New Roman" w:hAnsi="Times New Roman" w:eastAsia="楷体" w:cs="楷体"/>
          <w:b w:val="0"/>
          <w:bCs w:val="0"/>
          <w:sz w:val="32"/>
          <w:szCs w:val="32"/>
          <w:highlight w:val="none"/>
          <w:lang w:val="en-US" w:eastAsia="zh-CN"/>
        </w:rPr>
        <w:t>（一）构建高性能政务网络体系</w:t>
      </w:r>
    </w:p>
    <w:p w14:paraId="6569E42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1.积极融入全市政务城域网“一盘棋”布局。依托市级骨干网络建设与光传输系统升级成果，积极做好我区相关节点接入工作，优化网络，降低传输延迟，提升区域政务网络服务效能与支撑能力，为政务数字化转型夯实网络基础。（责任单位：区数据和行政审批局）</w:t>
      </w:r>
    </w:p>
    <w:p w14:paraId="6394658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2.强化政务网络迁移整合。开展非涉密业务专网向政务外网迁移整合工作，消除各行业部门之间的网络壁垒。按照市级行业部门迁移方案，到2025年底，完成我区3条非涉密业务专网撤并迁移，保障相关业务平稳有序过渡；到2026年底，全面完成非涉密业务专网迁移工作。（责任单位：区审计局、区应急管理局、区交通局；配合单位：区数据和行政审批局）</w:t>
      </w:r>
    </w:p>
    <w:p w14:paraId="47DBE89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楷体" w:cs="楷体"/>
          <w:b w:val="0"/>
          <w:bCs w:val="0"/>
          <w:sz w:val="32"/>
          <w:szCs w:val="32"/>
          <w:highlight w:val="none"/>
          <w:lang w:val="en-US" w:eastAsia="zh-CN"/>
        </w:rPr>
      </w:pPr>
      <w:r>
        <w:rPr>
          <w:rFonts w:hint="eastAsia" w:ascii="Times New Roman" w:hAnsi="Times New Roman" w:eastAsia="楷体" w:cs="楷体"/>
          <w:b w:val="0"/>
          <w:bCs w:val="0"/>
          <w:sz w:val="32"/>
          <w:szCs w:val="32"/>
          <w:highlight w:val="none"/>
          <w:lang w:val="en-US" w:eastAsia="zh-CN"/>
        </w:rPr>
        <w:t>（二）加快部署物联感知网络</w:t>
      </w:r>
    </w:p>
    <w:p w14:paraId="543FE83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3.严格执行市级物联设施建设标准体系，建立我区建设项目联评联审机制，保障物联设施与市政工程同步设计、同步施工、同步验收、同步投入使用。到2025年底，根据市级智慧终端场景设施设备建设指引和应用规范，探索形成我区软硬一体信息化项目联评联审工作机制（附件2），畅通与市数据局、市级行业主管部门协同，并在交通、水务、城管执法、燃气、供热、文化旅游等重点领域开展相关项目联评联审。2026年推进数字政府建设重点领域项目联评联审全覆盖。（责任单位：区数据和行政审批局；配合单位：区发改委、区交通局、区水务局、区城管执法局、区住建局、区文化旅游局、公安临潼分局、资源规划分局等区级相关单位）</w:t>
      </w:r>
    </w:p>
    <w:p w14:paraId="16CE90F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4.推动市级物联设施统一纳管平台在我区落地应用。实现市政、交通、城管执法、应急管理、消防救援、生态环境、气象等领域感知设备接入、集中管理和感知数据共享利用。到2025年底，依托市级物联设施统一纳管平台，开展物联网终端摸排及适配接入；到2026年底，实现物联网主城区和重点区域全覆盖，探索打造物联网重点示范应用。（责任单位：区住建局、区交通局、区城管执法局、区应急管理局、区水务局、区农业农村局、区秦保局、区气象局、资源规划分局、生态环境分局、公安临潼分局、消防救援大队等区级相关单位；配合单位：区发改委、区数据和行政审批局，区属国有数字公司）</w:t>
      </w:r>
    </w:p>
    <w:p w14:paraId="00F90D5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5.推动燃气、供热、供水、再生水、污水、排水、供电、消火栓、地下管网、地下综合管廊、桥梁隧道、窨井盖等市政公共服务领域设施物联智能感知设备规模部署应用，构建全链条智能感知网络。（责任单位：区住建局；配合单位：区发改委、区城管执法局、区交通局、区水务局、区应急管理局、区数据和行政审批局、公安临潼分局、资源规划分局、生态环境分局、消防救援大队等区级相关单位，区城投集团、区城建集团、区供电公司、区属国有数字公司）</w:t>
      </w:r>
    </w:p>
    <w:p w14:paraId="73CE0FE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楷体" w:cs="楷体"/>
          <w:b w:val="0"/>
          <w:bCs w:val="0"/>
          <w:sz w:val="32"/>
          <w:szCs w:val="32"/>
          <w:highlight w:val="none"/>
          <w:lang w:val="en-US" w:eastAsia="zh-CN"/>
        </w:rPr>
      </w:pPr>
      <w:r>
        <w:rPr>
          <w:rFonts w:hint="eastAsia" w:ascii="Times New Roman" w:hAnsi="Times New Roman" w:eastAsia="楷体" w:cs="楷体"/>
          <w:b w:val="0"/>
          <w:bCs w:val="0"/>
          <w:sz w:val="32"/>
          <w:szCs w:val="32"/>
          <w:highlight w:val="none"/>
          <w:lang w:val="en-US" w:eastAsia="zh-CN"/>
        </w:rPr>
        <w:t>（三）强化视频设施网联应用</w:t>
      </w:r>
    </w:p>
    <w:p w14:paraId="0577AAE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6.深化视频资源对接共享。按照市级平台的技术参数，整合全区城管执法、公安、交通、水务、应急管理、消防救援、综治、市场监管等部门的视频监控资源和各类公共场所视频资源。到2025年底，区级各部门开展自建视频资源适配改造，接入全市视频汇聚分析平台。到2026年底，依托平台申请辖区内涉市级部门视频资源调阅权限，推动交通、文旅、城市管理等领域综合调度和智慧管理，实现辖区内市区两级视频资源应汇尽汇、互联共享、开发应用。（责任单位：区城管执法局、公安临潼分局、区交通局、区水务局、区应急管理局、区教育局、区市场监管局、区秦保局、生态环境分局、区消防救援大队等区级相关单位；配合单位：区发改委、区数据和行政审批局，区属国有数字公司）</w:t>
      </w:r>
    </w:p>
    <w:p w14:paraId="697AE30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楷体" w:cs="楷体"/>
          <w:b w:val="0"/>
          <w:bCs w:val="0"/>
          <w:sz w:val="32"/>
          <w:szCs w:val="32"/>
          <w:highlight w:val="none"/>
          <w:lang w:val="en-US" w:eastAsia="zh-CN"/>
        </w:rPr>
      </w:pPr>
      <w:r>
        <w:rPr>
          <w:rFonts w:hint="eastAsia" w:ascii="Times New Roman" w:hAnsi="Times New Roman" w:eastAsia="楷体" w:cs="楷体"/>
          <w:b w:val="0"/>
          <w:bCs w:val="0"/>
          <w:sz w:val="32"/>
          <w:szCs w:val="32"/>
          <w:highlight w:val="none"/>
          <w:lang w:val="en-US" w:eastAsia="zh-CN"/>
        </w:rPr>
        <w:t>（四）构建卫星遥感网络监测服务体系</w:t>
      </w:r>
    </w:p>
    <w:p w14:paraId="68541E8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7.做好卫星遥感应用场景保障。统筹全区各行业领域卫星遥感监测需求，构建市区联动、统建共用的卫星遥感监测预警服务体系，推动卫星遥感与业务应用场景深度融合，支撑其在基础测绘、国土规划、市政交通、建设监管、水文水利、环境监测、应急管理、秦岭保护等重点领域应用。实现监测预警的精准化、智能化，提升城市运行的安全韧性和精细化治理水平。到2025年底，配合市级开展秦岭空天地一体化监管体系建设；到2026年底，争取在城管执法、应急管理、水务、交通等领域试点应用。（责任单位：区秦保局；配合单位：资源规划分局、区工信商务局、区住建局、区城管执法局、区交通局、区水务局、区应急管理局、区发改委、区数据和行政审批局、区气象局、生态环境分局等区级相关单位，区属国有数字公司）</w:t>
      </w:r>
    </w:p>
    <w:p w14:paraId="6749DB8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楷体" w:cs="楷体"/>
          <w:b w:val="0"/>
          <w:bCs w:val="0"/>
          <w:sz w:val="32"/>
          <w:szCs w:val="32"/>
          <w:highlight w:val="none"/>
          <w:lang w:val="en-US" w:eastAsia="zh-CN"/>
        </w:rPr>
      </w:pPr>
      <w:r>
        <w:rPr>
          <w:rFonts w:hint="eastAsia" w:ascii="Times New Roman" w:hAnsi="Times New Roman" w:eastAsia="楷体" w:cs="楷体"/>
          <w:b w:val="0"/>
          <w:bCs w:val="0"/>
          <w:sz w:val="32"/>
          <w:szCs w:val="32"/>
          <w:highlight w:val="none"/>
          <w:lang w:val="en-US" w:eastAsia="zh-CN"/>
        </w:rPr>
        <w:t>（五）构建低空信息基础设施网络</w:t>
      </w:r>
    </w:p>
    <w:p w14:paraId="705C51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8.支持低空经济试点建设。联合军民航部门优化空域协同机制，争取技术融合、全域覆盖的低空经济基础设施试点，构建全方位低空经济网络体系，加速低空经济招商引资，拓展低空经济应用场景，探索在城市物流、农业种植、医疗救援、抢险救灾等方面打造示范应用。（责任单位：区工信商务局；配合单位：区科技局、区发改委、区交通局、区城管执法局、区文化旅游局、区农业农村局、区应急管理局、区数据和行政审批局等区级相关单位，区属国有数字公司）</w:t>
      </w:r>
    </w:p>
    <w:p w14:paraId="6837977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黑体" w:cs="黑体"/>
          <w:kern w:val="2"/>
          <w:sz w:val="32"/>
          <w:szCs w:val="32"/>
          <w:highlight w:val="none"/>
          <w:lang w:val="en-US" w:eastAsia="zh-CN" w:bidi="ar-SA"/>
        </w:rPr>
      </w:pPr>
      <w:r>
        <w:rPr>
          <w:rFonts w:hint="eastAsia" w:ascii="Times New Roman" w:hAnsi="Times New Roman" w:eastAsia="黑体" w:cs="黑体"/>
          <w:kern w:val="2"/>
          <w:sz w:val="32"/>
          <w:szCs w:val="32"/>
          <w:highlight w:val="none"/>
          <w:lang w:val="en-US" w:eastAsia="zh-CN" w:bidi="ar-SA"/>
        </w:rPr>
        <w:t>三、推动资源上云集约增效</w:t>
      </w:r>
    </w:p>
    <w:p w14:paraId="07E95B44">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楷体" w:cs="楷体"/>
          <w:sz w:val="32"/>
          <w:szCs w:val="32"/>
          <w:highlight w:val="none"/>
          <w:lang w:val="en-US" w:eastAsia="zh-CN"/>
        </w:rPr>
      </w:pPr>
      <w:r>
        <w:rPr>
          <w:rFonts w:hint="eastAsia" w:ascii="Times New Roman" w:hAnsi="Times New Roman" w:eastAsia="楷体" w:cs="楷体"/>
          <w:sz w:val="32"/>
          <w:szCs w:val="32"/>
          <w:highlight w:val="none"/>
          <w:lang w:val="en-US" w:eastAsia="zh-CN"/>
        </w:rPr>
        <w:t>（一）推进政务云规模能级提升</w:t>
      </w:r>
    </w:p>
    <w:p w14:paraId="77F1FEE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9.全量归集政务云扩容需求。收集汇总辖区自建系统清单，制定迁移上市级政务云计划，并上报市数据局按需扩容。到2025年底，开展辖区存量自建业务系统摸底，梳理需迁移至信创环境的系统清单；到2026年底，组织辖区单位按信创替代计划，分阶段完成业务系统迁移改造。（责任单位：区数据和行政审批局；配合单位：区委机要和保密局等区级相关单位，区属国有数字公司）</w:t>
      </w:r>
    </w:p>
    <w:p w14:paraId="1BB753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10.完成区级自建机房裁撤。开展全区自建涉及数据存储、计算的数据机房、算力机房（不含网络机房）清查，确保业务平稳过渡的前提下，到2026年底完成我区政务信息系统（相关政策法规明确规定不宜上云的除外）自建机房裁撤事宜。（责任单位：各区级相关单位；配合单位：区数据和行政审批局，区属国有数字公司）</w:t>
      </w:r>
    </w:p>
    <w:p w14:paraId="0F9D6A4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楷体" w:cs="楷体"/>
          <w:b w:val="0"/>
          <w:bCs w:val="0"/>
          <w:sz w:val="32"/>
          <w:szCs w:val="32"/>
          <w:highlight w:val="none"/>
          <w:lang w:val="en-US" w:eastAsia="zh-CN"/>
        </w:rPr>
      </w:pPr>
      <w:r>
        <w:rPr>
          <w:rFonts w:hint="eastAsia" w:ascii="Times New Roman" w:hAnsi="Times New Roman" w:eastAsia="楷体" w:cs="楷体"/>
          <w:b w:val="0"/>
          <w:bCs w:val="0"/>
          <w:sz w:val="32"/>
          <w:szCs w:val="32"/>
          <w:highlight w:val="none"/>
          <w:lang w:val="en-US" w:eastAsia="zh-CN"/>
        </w:rPr>
        <w:t>（二）提升政务云管理运行质效</w:t>
      </w:r>
    </w:p>
    <w:p w14:paraId="7FEC5A0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11.提升政务系统的云资源使用效能。严格执行《西安市政务云管理办法》，按照市数据局指导，常态化开展政务云资源使用情况监测，动态分配我区政务系统云资源，及时做好闲置云资源的回收，杜绝重复建设与资源浪费，切实推动政务云资源利用向精细化、高效化迈进。（责任单位：区数据和行政审批局；配合单位：各区级相关单位，区属国有数字公司）</w:t>
      </w:r>
    </w:p>
    <w:p w14:paraId="31032EF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黑体" w:cs="黑体"/>
          <w:kern w:val="2"/>
          <w:sz w:val="32"/>
          <w:szCs w:val="32"/>
          <w:highlight w:val="none"/>
          <w:lang w:val="en-US" w:eastAsia="zh-CN" w:bidi="ar-SA"/>
        </w:rPr>
      </w:pPr>
      <w:r>
        <w:rPr>
          <w:rFonts w:hint="eastAsia" w:ascii="Times New Roman" w:hAnsi="Times New Roman" w:eastAsia="黑体" w:cs="黑体"/>
          <w:kern w:val="2"/>
          <w:sz w:val="32"/>
          <w:szCs w:val="32"/>
          <w:highlight w:val="none"/>
          <w:lang w:val="en-US" w:eastAsia="zh-CN" w:bidi="ar-SA"/>
        </w:rPr>
        <w:t>四、推动AI智算应用多维赋能</w:t>
      </w:r>
    </w:p>
    <w:p w14:paraId="54C895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12.支撑智算基础设施建设。开展全区政务服务、城市管理等领域AI算力需求调研，同时归集处理我区各类政务知识库原始数据，为市级制定智算调度方案及政务人工智能大模型训练提供有力支撑。（责任单位：区数据和行政审批局、区住建局、区城管执法局；配合单位：各区级相关单位，区属国有数字公司）</w:t>
      </w:r>
    </w:p>
    <w:p w14:paraId="25F2E09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13.依托市级部署的Deepseek、千问等国产大模型通用AI基础服务，推动大模型应用场景落地。建立政务数据归集机制，组织各部门梳理业务数据，形成符合市级模型训练要求的高质量数据集。到2025年底，在政务服务、12345市民热线、智慧交通、城市运管服和城市生命线等特色场景中，推动智能体应用落地；到2026年底，推动大模型与各接入市级政务云的业务系统无缝对接。（责任单位：区数据和行政审批局，配合单位：各区级相关单位，区属国有数字公司）</w:t>
      </w:r>
    </w:p>
    <w:p w14:paraId="791810F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黑体" w:cs="黑体"/>
          <w:kern w:val="2"/>
          <w:sz w:val="32"/>
          <w:szCs w:val="32"/>
          <w:highlight w:val="none"/>
          <w:lang w:val="en-US" w:eastAsia="zh-CN" w:bidi="ar-SA"/>
        </w:rPr>
      </w:pPr>
      <w:r>
        <w:rPr>
          <w:rFonts w:hint="eastAsia" w:ascii="Times New Roman" w:hAnsi="Times New Roman" w:eastAsia="黑体" w:cs="黑体"/>
          <w:kern w:val="2"/>
          <w:sz w:val="32"/>
          <w:szCs w:val="32"/>
          <w:highlight w:val="none"/>
          <w:lang w:val="en-US" w:eastAsia="zh-CN" w:bidi="ar-SA"/>
        </w:rPr>
        <w:t>五、推动数据资源归集利用</w:t>
      </w:r>
    </w:p>
    <w:p w14:paraId="2CB36377">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楷体" w:cs="楷体"/>
          <w:sz w:val="32"/>
          <w:szCs w:val="32"/>
          <w:highlight w:val="none"/>
          <w:lang w:val="en-US" w:eastAsia="zh-CN"/>
        </w:rPr>
      </w:pPr>
      <w:r>
        <w:rPr>
          <w:rFonts w:hint="eastAsia" w:ascii="Times New Roman" w:hAnsi="Times New Roman" w:eastAsia="楷体" w:cs="楷体"/>
          <w:sz w:val="32"/>
          <w:szCs w:val="32"/>
          <w:highlight w:val="none"/>
          <w:lang w:val="en-US" w:eastAsia="zh-CN"/>
        </w:rPr>
        <w:t>（一）推广应用软硬一体数据流通利用基础设施</w:t>
      </w:r>
    </w:p>
    <w:p w14:paraId="08B740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14.依托市级“1321N”（一个基础底座，三个加工平台，两个流通载体，一个运营门户，N个行业场景）的软硬一体数据流通利用基础设施平台，推动区级数据产品上线市级平台。到2025年底，广泛开展宣传，引导本地市场主体和数据产品接入市级基础底座，推动数据流通利用；到2026年底，依托市级基础底座，聚焦农业、先进制造和文旅等领域，围绕国省市“重点联系示范场景”等政策要求，打造跨区域、跨行业综合数据流通利用场景。（责任单位：区数据和行政审批局；配合单位：区级各相关单位，区属国有数字公司）</w:t>
      </w:r>
    </w:p>
    <w:p w14:paraId="7D5044A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15.应用一体化数字资源管理中枢平台，实现云、网、数、应用等数字资源“一本账”管理提质扩面。到2025年底，摸排我区自建系统和应用，开展应用编目和数据编目；到2026年底，各部门根据履行职责的需要和业务场景需求，申请上级政务数据回流，归集治理形成高质量数据资源，全面支撑数字政府应用数据需求。（责任单位：区数据和行政审批局；配合单位：区级各相关单位，区属国有数字公司）</w:t>
      </w:r>
    </w:p>
    <w:p w14:paraId="4DC44880">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楷体" w:cs="楷体"/>
          <w:sz w:val="32"/>
          <w:szCs w:val="32"/>
          <w:highlight w:val="none"/>
          <w:lang w:val="en-US" w:eastAsia="zh-CN"/>
        </w:rPr>
      </w:pPr>
      <w:r>
        <w:rPr>
          <w:rFonts w:hint="eastAsia" w:ascii="Times New Roman" w:hAnsi="Times New Roman" w:eastAsia="楷体" w:cs="楷体"/>
          <w:sz w:val="32"/>
          <w:szCs w:val="32"/>
          <w:highlight w:val="none"/>
          <w:lang w:val="en-US" w:eastAsia="zh-CN"/>
        </w:rPr>
        <w:t>（二）构建城市可信数据空间</w:t>
      </w:r>
    </w:p>
    <w:p w14:paraId="56D7E88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16.推进可信数据空间应用。配合市级建设面向多行业应用的普惠可信数据空间，引导辖区市场主体应用普惠可信数据空间，参与建设和应用行业可信数据空间、企业可信数据空间。落实建立数据供、需、服、运、管五方协同的数据流通利用运营体系，指导我区符合条件的单位进行公共数据登记，明确数据权属，探索落实价值评估和收益分配制度，分区域分行业鼓励相关机构开展数据授权运营，提升数据资源市场化配置能力。（责任单位：区数据和行政审批局，配合单位：各区级相关部门，区属国有数字公司）</w:t>
      </w:r>
    </w:p>
    <w:p w14:paraId="52161E12">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楷体" w:cs="楷体"/>
          <w:sz w:val="32"/>
          <w:szCs w:val="32"/>
          <w:highlight w:val="none"/>
          <w:lang w:val="en-US" w:eastAsia="zh-CN"/>
        </w:rPr>
      </w:pPr>
      <w:r>
        <w:rPr>
          <w:rFonts w:hint="eastAsia" w:ascii="Times New Roman" w:hAnsi="Times New Roman" w:eastAsia="楷体" w:cs="楷体"/>
          <w:sz w:val="32"/>
          <w:szCs w:val="32"/>
          <w:highlight w:val="none"/>
          <w:lang w:val="en-US" w:eastAsia="zh-CN"/>
        </w:rPr>
        <w:t>（三）构建高质量数据集</w:t>
      </w:r>
    </w:p>
    <w:p w14:paraId="701DF7A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17.加快推进公共数据和农业、先进制造、文旅等行业数据融合，探索建立政府和行业企业多方参与、高效协同的工作机制，鼓励我区符合条件的企业参与构建全市数据要素标准与评估体系，分领域分行业进行数据编目和归集治理，打造高质量数据集。（责任单位：区数据和行政审批局；配合单位：区农业农村局、区工信商务局、区科技局、区文化旅游局等区级相关单位，区属国有数字公司）</w:t>
      </w:r>
    </w:p>
    <w:p w14:paraId="5ADA5D2E">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楷体" w:cs="楷体"/>
          <w:sz w:val="32"/>
          <w:szCs w:val="32"/>
          <w:highlight w:val="none"/>
          <w:lang w:val="en-US" w:eastAsia="zh-CN"/>
        </w:rPr>
      </w:pPr>
      <w:r>
        <w:rPr>
          <w:rFonts w:hint="eastAsia" w:ascii="Times New Roman" w:hAnsi="Times New Roman" w:eastAsia="楷体" w:cs="楷体"/>
          <w:sz w:val="32"/>
          <w:szCs w:val="32"/>
          <w:highlight w:val="none"/>
          <w:lang w:val="en-US" w:eastAsia="zh-CN"/>
        </w:rPr>
        <w:t>（四）打造城市数字孪生底座</w:t>
      </w:r>
    </w:p>
    <w:p w14:paraId="099A72A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18.深化数字孪生技术应用。依托全市CIM（城市信息模型）等公共基础支撑平台，汇聚全区基础地理、建筑物、基础设施等三维数据和各类城市运行管理数据，融入全域感知、智能分析、动态迭代的全市城市数字孪生底座，全面支撑城市“一网统管”。到2025年底，配合市级建设数字孪生底座平台，争取在智慧交通、智慧城管等领域试点应用；2026年，争取其在工建审批、城市体检、基层治理、应急管理、环境保护等重点领域的市区两级协同应用试点。（责任单位：区数据和行政审批局、区住建局；配合单位：区发改委、资源规划分局、区城管执法局、区交通局、公安临潼分局、区应急管理局、区秦保局、生态环境分局等区级相关单位）</w:t>
      </w:r>
    </w:p>
    <w:p w14:paraId="1C25688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黑体" w:cs="黑体"/>
          <w:kern w:val="2"/>
          <w:sz w:val="32"/>
          <w:szCs w:val="32"/>
          <w:highlight w:val="none"/>
          <w:lang w:val="en-US" w:eastAsia="zh-CN" w:bidi="ar-SA"/>
        </w:rPr>
      </w:pPr>
      <w:r>
        <w:rPr>
          <w:rFonts w:hint="eastAsia" w:ascii="Times New Roman" w:hAnsi="Times New Roman" w:eastAsia="黑体" w:cs="黑体"/>
          <w:kern w:val="2"/>
          <w:sz w:val="32"/>
          <w:szCs w:val="32"/>
          <w:highlight w:val="none"/>
          <w:lang w:val="en-US" w:eastAsia="zh-CN" w:bidi="ar-SA"/>
        </w:rPr>
        <w:t>六、推动网络和数据安全保护</w:t>
      </w:r>
    </w:p>
    <w:p w14:paraId="30EC9633">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楷体" w:cs="楷体"/>
          <w:sz w:val="32"/>
          <w:szCs w:val="32"/>
          <w:highlight w:val="none"/>
          <w:lang w:val="en-US" w:eastAsia="zh-CN"/>
        </w:rPr>
      </w:pPr>
      <w:r>
        <w:rPr>
          <w:rFonts w:hint="eastAsia" w:ascii="Times New Roman" w:hAnsi="Times New Roman" w:eastAsia="楷体" w:cs="楷体"/>
          <w:sz w:val="32"/>
          <w:szCs w:val="32"/>
          <w:highlight w:val="none"/>
          <w:lang w:val="en-US" w:eastAsia="zh-CN"/>
        </w:rPr>
        <w:t>（一）打造一体化安全运维体系</w:t>
      </w:r>
    </w:p>
    <w:p w14:paraId="4B99FB5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19.提升区级安全监测能力。依托市级一体化安全运维管理平台，配合市级对我区迁入市级政务云的系统，开展网络安全和数据安全的实时监测、预警和处置，提供全面的基础防护。配合完善安全能力体系，全面提升等保测评、渗透测试、应急响应、风险评估等安全防护和应急保障能力。到2025年底，依托市级平台，为接入市级政务云的系统提供服务。到2026年底，配合市级做好相关系统安全防护，配合落实相关防护及整改要求，提升安全保障能力。（责任单位：区数据和行政审批局，配合单位：区级各相关单位，区属国有数字公司）</w:t>
      </w:r>
    </w:p>
    <w:p w14:paraId="74D08CA8">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楷体" w:cs="楷体"/>
          <w:sz w:val="32"/>
          <w:szCs w:val="32"/>
          <w:highlight w:val="none"/>
          <w:lang w:val="en-US" w:eastAsia="zh-CN"/>
        </w:rPr>
      </w:pPr>
      <w:r>
        <w:rPr>
          <w:rFonts w:hint="eastAsia" w:ascii="Times New Roman" w:hAnsi="Times New Roman" w:eastAsia="楷体" w:cs="楷体"/>
          <w:sz w:val="32"/>
          <w:szCs w:val="32"/>
          <w:highlight w:val="none"/>
          <w:lang w:val="en-US" w:eastAsia="zh-CN"/>
        </w:rPr>
        <w:t>（二）实施政务网量子加密安全提升</w:t>
      </w:r>
    </w:p>
    <w:p w14:paraId="42187C3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20.配合政务量子城域网改造升级，提高政务网抗密码攻破能力，大幅提升政务网安全性和数据可靠性。到2025年底，配合开展政务网关键节点间量子加密传输工作；到2026年底，配合开展政务云关键节点传输量子加密工作。（责任单位：区数据和行政审批局；配合单位：中国电信临潼分公司）</w:t>
      </w:r>
    </w:p>
    <w:p w14:paraId="57665C7C">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楷体" w:cs="楷体"/>
          <w:sz w:val="32"/>
          <w:szCs w:val="32"/>
          <w:highlight w:val="none"/>
          <w:lang w:val="en-US" w:eastAsia="zh-CN"/>
        </w:rPr>
      </w:pPr>
      <w:r>
        <w:rPr>
          <w:rFonts w:hint="eastAsia" w:ascii="Times New Roman" w:hAnsi="Times New Roman" w:eastAsia="楷体" w:cs="楷体"/>
          <w:sz w:val="32"/>
          <w:szCs w:val="32"/>
          <w:highlight w:val="none"/>
          <w:lang w:val="en-US" w:eastAsia="zh-CN"/>
        </w:rPr>
        <w:t>（三）提升政务云密码安全能力</w:t>
      </w:r>
    </w:p>
    <w:p w14:paraId="1144AF3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21.推进国产商用密码政务网应用，依托市级云密码服务平台，为全区迁移至政务云的政务系统提供统一的密码服务，保障数据保密性、完整性和可用性，提升应用系统安全性。到2025年底，依托市级云密码服务平台，为全区迁移至政务云的政务系统提供密码安全防护；到2026年底，配合落实对我区相关系统的防护和整改要求。（责任单位：区数据和行政审批局；配合单位：区委机要和保密局）</w:t>
      </w:r>
    </w:p>
    <w:p w14:paraId="11FA427E">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楷体" w:cs="楷体"/>
          <w:sz w:val="32"/>
          <w:szCs w:val="32"/>
          <w:highlight w:val="none"/>
          <w:lang w:val="en-US" w:eastAsia="zh-CN"/>
        </w:rPr>
      </w:pPr>
      <w:r>
        <w:rPr>
          <w:rFonts w:hint="eastAsia" w:ascii="Times New Roman" w:hAnsi="Times New Roman" w:eastAsia="楷体" w:cs="楷体"/>
          <w:sz w:val="32"/>
          <w:szCs w:val="32"/>
          <w:highlight w:val="none"/>
          <w:lang w:val="en-US" w:eastAsia="zh-CN"/>
        </w:rPr>
        <w:t>（四）强化自主可控信创安全适配</w:t>
      </w:r>
    </w:p>
    <w:p w14:paraId="3CA9E39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22.落实自主可控信创替代工作。推进全区自建政务信息系统国产化适配改造，收集汇总我区党政机关及直属事业单位计算机替代需求，分阶段推进全区计算机国产化替代。到2025年底，制定我区信创工作方案和各年度适配替代计划，开展替代工作；到2026年底，按计划开展全区党政机关及直属事业单位计算机信创替代和自建政务信息系统国产化适配改造工作。（责任单位：区委机要和保密局、区财政局、区数据和行政审批局、区审计局，配合单位：区级党政机关及直属事业单位，各街道办事处，区属国有数字公司）</w:t>
      </w:r>
    </w:p>
    <w:p w14:paraId="2B7AD59F">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 w:cs="仿宋"/>
          <w:sz w:val="32"/>
          <w:szCs w:val="32"/>
        </w:rPr>
      </w:pPr>
      <w:r>
        <w:rPr>
          <w:rFonts w:hint="eastAsia" w:ascii="Times New Roman" w:hAnsi="Times New Roman" w:eastAsia="楷体" w:cs="楷体"/>
          <w:sz w:val="32"/>
          <w:szCs w:val="32"/>
          <w:highlight w:val="none"/>
          <w:lang w:val="en-US" w:eastAsia="zh-CN"/>
        </w:rPr>
        <w:t>（五）开展隐私保护计算、区块链等安全技术应用</w:t>
      </w:r>
    </w:p>
    <w:p w14:paraId="743AC58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23.配合市级在数据流通利用基础设施建设（先行先试）中开展隐私计算技术验证，落实隐私保护标准规范，通过隐私计算对个人敏感信息进行处理，鼓励本地企业参与研发设计芯片级隐私计算终端。（责任单位：区数据和行政审批局；配合单位：区科技局、区工信商务局等区级相关单位）</w:t>
      </w:r>
    </w:p>
    <w:p w14:paraId="0E46B1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24.探索区块链技术在数据资产运营管理领域应用，支持本地企业和科研院所参与全市基于区块链的数据资源登记、多主体数据授权、数据登记存证上链等关键技术攻关，探索构建覆盖数据全生命周期的安全防护体系。（责任单位：区数据和行政审批局；配合单位：区科技局、区工信商务局等区级相关单位）</w:t>
      </w:r>
    </w:p>
    <w:p w14:paraId="1DA876C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黑体" w:cs="黑体"/>
          <w:kern w:val="2"/>
          <w:sz w:val="32"/>
          <w:szCs w:val="32"/>
          <w:highlight w:val="none"/>
          <w:lang w:val="en-US" w:eastAsia="zh-CN" w:bidi="ar-SA"/>
        </w:rPr>
      </w:pPr>
      <w:r>
        <w:rPr>
          <w:rFonts w:hint="eastAsia" w:ascii="Times New Roman" w:hAnsi="Times New Roman" w:eastAsia="黑体" w:cs="黑体"/>
          <w:kern w:val="2"/>
          <w:sz w:val="32"/>
          <w:szCs w:val="32"/>
          <w:highlight w:val="none"/>
          <w:lang w:val="en-US" w:eastAsia="zh-CN" w:bidi="ar-SA"/>
        </w:rPr>
        <w:t>七、保障措施</w:t>
      </w:r>
    </w:p>
    <w:p w14:paraId="34FEB4F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楷体" w:cs="楷体"/>
          <w:sz w:val="32"/>
          <w:szCs w:val="32"/>
          <w:highlight w:val="none"/>
          <w:lang w:val="en-US" w:eastAsia="zh-CN"/>
        </w:rPr>
      </w:pPr>
      <w:r>
        <w:rPr>
          <w:rFonts w:hint="eastAsia" w:ascii="Times New Roman" w:hAnsi="Times New Roman" w:eastAsia="楷体" w:cs="楷体"/>
          <w:sz w:val="32"/>
          <w:szCs w:val="32"/>
          <w:highlight w:val="none"/>
          <w:lang w:val="en-US" w:eastAsia="zh-CN"/>
        </w:rPr>
        <w:t>（一）加强组织协调</w:t>
      </w:r>
    </w:p>
    <w:p w14:paraId="602968C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充分发挥我区数据产业发展工作专班统筹协调作用，完善工作统筹协调调度机制，推动各类市级底座平台、行业系统的接入和应用，确保各项任务稳步推进、有序实施。</w:t>
      </w:r>
    </w:p>
    <w:p w14:paraId="7B6D677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楷体" w:cs="楷体"/>
          <w:sz w:val="32"/>
          <w:szCs w:val="32"/>
          <w:highlight w:val="none"/>
          <w:lang w:val="en-US" w:eastAsia="zh-CN"/>
        </w:rPr>
      </w:pPr>
      <w:r>
        <w:rPr>
          <w:rFonts w:hint="eastAsia" w:ascii="Times New Roman" w:hAnsi="Times New Roman" w:eastAsia="楷体" w:cs="楷体"/>
          <w:sz w:val="32"/>
          <w:szCs w:val="32"/>
          <w:highlight w:val="none"/>
          <w:lang w:val="en-US" w:eastAsia="zh-CN"/>
        </w:rPr>
        <w:t>（二）强化应用示范</w:t>
      </w:r>
    </w:p>
    <w:p w14:paraId="5DF9E5B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各行业主管部门要主动利用统一的新型基础设施及智慧化应用系统，根据业务场景需求开展创新性场景应用，形成市区两级“新基建+新应用”应用示范。</w:t>
      </w:r>
    </w:p>
    <w:p w14:paraId="5729E1A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楷体" w:cs="楷体"/>
          <w:sz w:val="32"/>
          <w:szCs w:val="32"/>
          <w:highlight w:val="none"/>
          <w:lang w:val="en-US" w:eastAsia="zh-CN"/>
        </w:rPr>
      </w:pPr>
      <w:r>
        <w:rPr>
          <w:rFonts w:hint="eastAsia" w:ascii="Times New Roman" w:hAnsi="Times New Roman" w:eastAsia="楷体" w:cs="楷体"/>
          <w:sz w:val="32"/>
          <w:szCs w:val="32"/>
          <w:highlight w:val="none"/>
          <w:lang w:val="en-US" w:eastAsia="zh-CN"/>
        </w:rPr>
        <w:t>（三）落实资金保障</w:t>
      </w:r>
    </w:p>
    <w:p w14:paraId="5AC3662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加大财政资金对新型基础设施应用场景建设的投入力度，积极争取国家、省级试点以及“两重”和“大规模设备更新”等专项资金支持，同时探索多元化资金投入机制，吸引社会资本参与项目建设。</w:t>
      </w:r>
    </w:p>
    <w:p w14:paraId="4664B0B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楷体" w:cs="楷体"/>
          <w:sz w:val="32"/>
          <w:szCs w:val="32"/>
          <w:highlight w:val="none"/>
          <w:lang w:val="en-US" w:eastAsia="zh-CN"/>
        </w:rPr>
      </w:pPr>
      <w:r>
        <w:rPr>
          <w:rFonts w:hint="eastAsia" w:ascii="Times New Roman" w:hAnsi="Times New Roman" w:eastAsia="楷体" w:cs="楷体"/>
          <w:sz w:val="32"/>
          <w:szCs w:val="32"/>
          <w:highlight w:val="none"/>
          <w:lang w:val="en-US" w:eastAsia="zh-CN"/>
        </w:rPr>
        <w:t>（四）开展监督评估</w:t>
      </w:r>
    </w:p>
    <w:p w14:paraId="7089EE7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rPr>
      </w:pPr>
      <w:r>
        <w:rPr>
          <w:rFonts w:hint="eastAsia" w:ascii="Times New Roman" w:hAnsi="Times New Roman" w:eastAsia="仿宋_GB2312" w:cs="仿宋_GB2312"/>
          <w:sz w:val="32"/>
          <w:szCs w:val="32"/>
          <w:highlight w:val="none"/>
          <w:lang w:val="en-US" w:eastAsia="zh-CN"/>
        </w:rPr>
        <w:t>建立健全新型基础设施建设监督评估机制，制定详细任务指标和考核标准，形成任务清单，按季度对各部门、各项目的建设进展、质量、效果进行定期跟踪评估考核。</w:t>
      </w:r>
    </w:p>
    <w:sectPr>
      <w:headerReference r:id="rId3" w:type="default"/>
      <w:footerReference r:id="rId4" w:type="default"/>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CB247">
    <w:pPr>
      <w:pStyle w:val="6"/>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E37DD0">
                          <w:pPr>
                            <w:pStyle w:val="6"/>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- 13 -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16E37DD0">
                    <w:pPr>
                      <w:pStyle w:val="6"/>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- 13 -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9CA2C4">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4ZWI5ZTgxNGQzYTk0OGUyOTJmNjhkNDllMDdlMDQifQ=="/>
  </w:docVars>
  <w:rsids>
    <w:rsidRoot w:val="00172A27"/>
    <w:rsid w:val="00C55C62"/>
    <w:rsid w:val="02005B8D"/>
    <w:rsid w:val="020411DA"/>
    <w:rsid w:val="02B7449E"/>
    <w:rsid w:val="031B1D7C"/>
    <w:rsid w:val="038B5411"/>
    <w:rsid w:val="045E6154"/>
    <w:rsid w:val="061A176E"/>
    <w:rsid w:val="07484B65"/>
    <w:rsid w:val="07611AB1"/>
    <w:rsid w:val="08EE04EE"/>
    <w:rsid w:val="098F1CD1"/>
    <w:rsid w:val="09D86BEC"/>
    <w:rsid w:val="09EC3A2F"/>
    <w:rsid w:val="0A1B5312"/>
    <w:rsid w:val="0AAA2B3A"/>
    <w:rsid w:val="0ADB15EE"/>
    <w:rsid w:val="0BDC5482"/>
    <w:rsid w:val="0BF22AFE"/>
    <w:rsid w:val="0C8852BE"/>
    <w:rsid w:val="0DF9456A"/>
    <w:rsid w:val="0F4A2F30"/>
    <w:rsid w:val="0F917E25"/>
    <w:rsid w:val="0FBC7598"/>
    <w:rsid w:val="105F6519"/>
    <w:rsid w:val="10AA1CBB"/>
    <w:rsid w:val="11F226BC"/>
    <w:rsid w:val="120121FF"/>
    <w:rsid w:val="16691AFB"/>
    <w:rsid w:val="17216031"/>
    <w:rsid w:val="17D974C2"/>
    <w:rsid w:val="198A4742"/>
    <w:rsid w:val="1A732FB1"/>
    <w:rsid w:val="1AAE0679"/>
    <w:rsid w:val="1B975553"/>
    <w:rsid w:val="1C441E18"/>
    <w:rsid w:val="1D044394"/>
    <w:rsid w:val="1D1035FF"/>
    <w:rsid w:val="1DD04810"/>
    <w:rsid w:val="1DE959E5"/>
    <w:rsid w:val="1E05035C"/>
    <w:rsid w:val="1E1D0200"/>
    <w:rsid w:val="1F06438B"/>
    <w:rsid w:val="1FDF698A"/>
    <w:rsid w:val="1FF514CC"/>
    <w:rsid w:val="20901FBF"/>
    <w:rsid w:val="22723AE6"/>
    <w:rsid w:val="229C10F6"/>
    <w:rsid w:val="22D02771"/>
    <w:rsid w:val="23126894"/>
    <w:rsid w:val="23695AC4"/>
    <w:rsid w:val="24517D7C"/>
    <w:rsid w:val="24BE2C6B"/>
    <w:rsid w:val="2584315D"/>
    <w:rsid w:val="25A33874"/>
    <w:rsid w:val="25C26B32"/>
    <w:rsid w:val="26345C82"/>
    <w:rsid w:val="27BC6E66"/>
    <w:rsid w:val="282C2974"/>
    <w:rsid w:val="288B626C"/>
    <w:rsid w:val="2A013FC0"/>
    <w:rsid w:val="2A7618CF"/>
    <w:rsid w:val="2D14003B"/>
    <w:rsid w:val="2D581574"/>
    <w:rsid w:val="2E206AEC"/>
    <w:rsid w:val="2E6C021F"/>
    <w:rsid w:val="2FF158EE"/>
    <w:rsid w:val="305F3250"/>
    <w:rsid w:val="31033AE4"/>
    <w:rsid w:val="31843C64"/>
    <w:rsid w:val="320007B4"/>
    <w:rsid w:val="32383B7B"/>
    <w:rsid w:val="32FD2138"/>
    <w:rsid w:val="3454129D"/>
    <w:rsid w:val="34E6283D"/>
    <w:rsid w:val="35831E78"/>
    <w:rsid w:val="362C4C91"/>
    <w:rsid w:val="36332A76"/>
    <w:rsid w:val="364C10C0"/>
    <w:rsid w:val="373C06F3"/>
    <w:rsid w:val="37D63367"/>
    <w:rsid w:val="3825542A"/>
    <w:rsid w:val="39A9738E"/>
    <w:rsid w:val="3B3F0F2F"/>
    <w:rsid w:val="3BAC442C"/>
    <w:rsid w:val="3BC9431F"/>
    <w:rsid w:val="3C5910F9"/>
    <w:rsid w:val="3D566086"/>
    <w:rsid w:val="3DF47D76"/>
    <w:rsid w:val="3EC62D97"/>
    <w:rsid w:val="3EF85910"/>
    <w:rsid w:val="3F412B48"/>
    <w:rsid w:val="3F5E345F"/>
    <w:rsid w:val="3F5E5A46"/>
    <w:rsid w:val="3F6C3D08"/>
    <w:rsid w:val="3FF04570"/>
    <w:rsid w:val="400C6798"/>
    <w:rsid w:val="40AA19C1"/>
    <w:rsid w:val="411F754D"/>
    <w:rsid w:val="41274AFB"/>
    <w:rsid w:val="419044A8"/>
    <w:rsid w:val="41B82E6B"/>
    <w:rsid w:val="41C75273"/>
    <w:rsid w:val="41CA209C"/>
    <w:rsid w:val="42642FF3"/>
    <w:rsid w:val="435117C9"/>
    <w:rsid w:val="441647C1"/>
    <w:rsid w:val="441C5493"/>
    <w:rsid w:val="44DE5331"/>
    <w:rsid w:val="450A21BA"/>
    <w:rsid w:val="456357E4"/>
    <w:rsid w:val="46A919E4"/>
    <w:rsid w:val="46D92C4C"/>
    <w:rsid w:val="474433F3"/>
    <w:rsid w:val="486073D2"/>
    <w:rsid w:val="48F47556"/>
    <w:rsid w:val="499F1DEA"/>
    <w:rsid w:val="4A012E3E"/>
    <w:rsid w:val="4A5343A7"/>
    <w:rsid w:val="4A5E5A0C"/>
    <w:rsid w:val="4B1B7842"/>
    <w:rsid w:val="4B4213A1"/>
    <w:rsid w:val="4C1E2465"/>
    <w:rsid w:val="4C2D2B24"/>
    <w:rsid w:val="4CCE79E7"/>
    <w:rsid w:val="4D361D7B"/>
    <w:rsid w:val="4D461C73"/>
    <w:rsid w:val="4E9D4493"/>
    <w:rsid w:val="4EC13DD4"/>
    <w:rsid w:val="4EDE7C89"/>
    <w:rsid w:val="4FDA7426"/>
    <w:rsid w:val="509304C6"/>
    <w:rsid w:val="51136310"/>
    <w:rsid w:val="518C687F"/>
    <w:rsid w:val="533325B1"/>
    <w:rsid w:val="53BA51B8"/>
    <w:rsid w:val="53E05D82"/>
    <w:rsid w:val="54B0031A"/>
    <w:rsid w:val="5568376B"/>
    <w:rsid w:val="5620737A"/>
    <w:rsid w:val="56C8194B"/>
    <w:rsid w:val="56E20DDA"/>
    <w:rsid w:val="57010434"/>
    <w:rsid w:val="5A725052"/>
    <w:rsid w:val="5B8E3542"/>
    <w:rsid w:val="5B9F2FC2"/>
    <w:rsid w:val="5CE9088B"/>
    <w:rsid w:val="5E5628FB"/>
    <w:rsid w:val="5EA535C8"/>
    <w:rsid w:val="5F340D6F"/>
    <w:rsid w:val="5F7206A6"/>
    <w:rsid w:val="608763D3"/>
    <w:rsid w:val="60D73E5F"/>
    <w:rsid w:val="61D54F1C"/>
    <w:rsid w:val="628716DC"/>
    <w:rsid w:val="62B83853"/>
    <w:rsid w:val="62CD2097"/>
    <w:rsid w:val="63374BDC"/>
    <w:rsid w:val="637D2926"/>
    <w:rsid w:val="63A5069C"/>
    <w:rsid w:val="64656A2B"/>
    <w:rsid w:val="656E50A5"/>
    <w:rsid w:val="65A63268"/>
    <w:rsid w:val="65CF33BE"/>
    <w:rsid w:val="66231EA4"/>
    <w:rsid w:val="674E6474"/>
    <w:rsid w:val="678E2487"/>
    <w:rsid w:val="67C13094"/>
    <w:rsid w:val="67F56318"/>
    <w:rsid w:val="688E4638"/>
    <w:rsid w:val="697417FA"/>
    <w:rsid w:val="69F236CB"/>
    <w:rsid w:val="6AB33AA6"/>
    <w:rsid w:val="6AFF1033"/>
    <w:rsid w:val="6BF14FC9"/>
    <w:rsid w:val="6D15370D"/>
    <w:rsid w:val="6EC0140A"/>
    <w:rsid w:val="6F0D2B0F"/>
    <w:rsid w:val="6FE56C72"/>
    <w:rsid w:val="70950698"/>
    <w:rsid w:val="71033854"/>
    <w:rsid w:val="735E7872"/>
    <w:rsid w:val="736F638F"/>
    <w:rsid w:val="737E6515"/>
    <w:rsid w:val="73DB6DF2"/>
    <w:rsid w:val="73F952CF"/>
    <w:rsid w:val="746C5E1F"/>
    <w:rsid w:val="747B56D8"/>
    <w:rsid w:val="761A7146"/>
    <w:rsid w:val="76D67397"/>
    <w:rsid w:val="77FE6EB6"/>
    <w:rsid w:val="78841BF5"/>
    <w:rsid w:val="78B233BC"/>
    <w:rsid w:val="78E8332F"/>
    <w:rsid w:val="7AF83CFD"/>
    <w:rsid w:val="7C09018C"/>
    <w:rsid w:val="7CF14EA8"/>
    <w:rsid w:val="7D7E4262"/>
    <w:rsid w:val="7E887ECC"/>
    <w:rsid w:val="7EFC1CF0"/>
    <w:rsid w:val="7EFF1256"/>
    <w:rsid w:val="7F0117E2"/>
    <w:rsid w:val="7F0864D9"/>
    <w:rsid w:val="E69D5D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napToGrid w:val="0"/>
      <w:spacing w:beforeLines="0" w:beforeAutospacing="0" w:afterLines="0" w:afterAutospacing="0" w:line="560" w:lineRule="exact"/>
      <w:ind w:firstLine="0" w:firstLineChars="0"/>
      <w:jc w:val="center"/>
      <w:outlineLvl w:val="0"/>
    </w:pPr>
    <w:rPr>
      <w:rFonts w:ascii="方正小标宋简体" w:hAnsi="方正小标宋简体" w:eastAsia="方正小标宋简体" w:cs="Times New Roman"/>
      <w:kern w:val="44"/>
      <w:sz w:val="44"/>
    </w:rPr>
  </w:style>
  <w:style w:type="paragraph" w:styleId="3">
    <w:name w:val="heading 2"/>
    <w:basedOn w:val="1"/>
    <w:next w:val="1"/>
    <w:unhideWhenUsed/>
    <w:qFormat/>
    <w:uiPriority w:val="0"/>
    <w:pPr>
      <w:keepNext/>
      <w:keepLines/>
      <w:spacing w:beforeLines="0" w:beforeAutospacing="0" w:afterLines="0" w:afterAutospacing="0" w:line="560" w:lineRule="exact"/>
      <w:ind w:firstLine="880" w:firstLineChars="200"/>
      <w:outlineLvl w:val="1"/>
    </w:pPr>
    <w:rPr>
      <w:rFonts w:ascii="Arial" w:hAnsi="Arial" w:eastAsia="黑体"/>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pPr>
      <w:keepNext w:val="0"/>
      <w:keepLines w:val="0"/>
      <w:widowControl w:val="0"/>
      <w:suppressLineNumbers w:val="0"/>
      <w:spacing w:before="0" w:beforeAutospacing="0" w:after="0" w:afterAutospacing="0" w:line="560" w:lineRule="exact"/>
      <w:ind w:left="0" w:right="0" w:firstLine="880" w:firstLineChars="200"/>
      <w:jc w:val="both"/>
    </w:pPr>
    <w:rPr>
      <w:rFonts w:hint="eastAsia" w:ascii="方正小标宋简体" w:hAnsi="方正小标宋简体" w:eastAsia="方正小标宋简体" w:cs="方正小标宋简体"/>
      <w:kern w:val="2"/>
      <w:sz w:val="43"/>
      <w:szCs w:val="43"/>
      <w:lang w:val="en-US" w:eastAsia="zh-CN" w:bidi="ar"/>
    </w:rPr>
  </w:style>
  <w:style w:type="paragraph" w:styleId="5">
    <w:name w:val="Plain Text"/>
    <w:basedOn w:val="1"/>
    <w:qFormat/>
    <w:uiPriority w:val="0"/>
    <w:rPr>
      <w:rFonts w:ascii="宋体" w:hAnsi="Courier New" w:cs="Courier New"/>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character" w:customStyle="1" w:styleId="13">
    <w:name w:val="font21"/>
    <w:basedOn w:val="10"/>
    <w:qFormat/>
    <w:uiPriority w:val="0"/>
    <w:rPr>
      <w:rFonts w:hint="eastAsia" w:ascii="宋体" w:hAnsi="宋体" w:eastAsia="宋体" w:cs="宋体"/>
      <w:color w:val="000000"/>
      <w:sz w:val="20"/>
      <w:szCs w:val="20"/>
      <w:u w:val="none"/>
    </w:rPr>
  </w:style>
  <w:style w:type="character" w:customStyle="1" w:styleId="14">
    <w:name w:val="font41"/>
    <w:basedOn w:val="10"/>
    <w:qFormat/>
    <w:uiPriority w:val="0"/>
    <w:rPr>
      <w:rFonts w:ascii="Arial" w:hAnsi="Arial" w:cs="Arial"/>
      <w:color w:val="000000"/>
      <w:sz w:val="21"/>
      <w:szCs w:val="21"/>
      <w:u w:val="none"/>
    </w:rPr>
  </w:style>
  <w:style w:type="character" w:customStyle="1" w:styleId="15">
    <w:name w:val="font31"/>
    <w:basedOn w:val="10"/>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5722</Words>
  <Characters>5896</Characters>
  <Lines>1</Lines>
  <Paragraphs>1</Paragraphs>
  <TotalTime>3</TotalTime>
  <ScaleCrop>false</ScaleCrop>
  <LinksUpToDate>false</LinksUpToDate>
  <CharactersWithSpaces>5924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2025-05-16T10:43:00Z</dcterms:created>
  <dc:creator>lenovo</dc:creator>
  <cp:lastModifiedBy>阿加</cp:lastModifiedBy>
  <cp:lastPrinted>2025-08-01T16:31:00Z</cp:lastPrinted>
  <dcterms:modified xsi:type="dcterms:W3CDTF">2025-09-05T01:42:47Z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eyJoZGlkIjoiMzc2Y2NiMjE2M2NkNGEyYzFjMTNiMmIxYTQwNmMzZjIiLCJ1c2VySWQiOiIyMjE5OTY0NzEifQ==</vt:lpwstr>
  </property>
  <property fmtid="{D5CDD505-2E9C-101B-9397-08002B2CF9AE}" pid="4" name="ICV">
    <vt:lpwstr>1CC2E59D9C5A46E5AC5111D966738289_13</vt:lpwstr>
  </property>
</Properties>
</file>