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B2E36C">
      <w:pPr>
        <w:keepNext w:val="0"/>
        <w:keepLines w:val="0"/>
        <w:pageBreakBefore w:val="0"/>
        <w:widowControl w:val="0"/>
        <w:suppressLineNumbers w:val="0"/>
        <w:kinsoku w:val="0"/>
        <w:wordWrap/>
        <w:overflowPunct w:val="0"/>
        <w:topLinePunct w:val="0"/>
        <w:autoSpaceDE w:val="0"/>
        <w:autoSpaceDN w:val="0"/>
        <w:bidi w:val="0"/>
        <w:adjustRightInd w:val="0"/>
        <w:snapToGrid w:val="0"/>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snapToGrid/>
          <w:color w:val="auto"/>
          <w:kern w:val="0"/>
          <w:sz w:val="44"/>
          <w:szCs w:val="44"/>
          <w:lang w:val="en-US" w:eastAsia="zh-CN" w:bidi="ar"/>
        </w:rPr>
        <w:t>西安市临潼区全面保护野生鸟类和</w:t>
      </w:r>
    </w:p>
    <w:p w14:paraId="03F47ED7">
      <w:pPr>
        <w:keepNext w:val="0"/>
        <w:keepLines w:val="0"/>
        <w:pageBreakBefore w:val="0"/>
        <w:widowControl w:val="0"/>
        <w:suppressLineNumbers w:val="0"/>
        <w:kinsoku w:val="0"/>
        <w:wordWrap/>
        <w:overflowPunct w:val="0"/>
        <w:topLinePunct w:val="0"/>
        <w:autoSpaceDE w:val="0"/>
        <w:autoSpaceDN w:val="0"/>
        <w:bidi w:val="0"/>
        <w:adjustRightInd w:val="0"/>
        <w:snapToGrid w:val="0"/>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snapToGrid/>
          <w:color w:val="auto"/>
          <w:kern w:val="0"/>
          <w:sz w:val="44"/>
          <w:szCs w:val="44"/>
          <w:lang w:val="en-US" w:eastAsia="zh-CN" w:bidi="ar"/>
        </w:rPr>
        <w:t>专项打击非法猎捕贩卖野生鸟类三年行动方案</w:t>
      </w:r>
      <w:r>
        <w:rPr>
          <w:rFonts w:hint="eastAsia" w:ascii="方正小标宋简体" w:hAnsi="方正小标宋简体" w:eastAsia="方正小标宋简体" w:cs="方正小标宋简体"/>
          <w:snapToGrid/>
          <w:color w:val="auto"/>
          <w:kern w:val="0"/>
          <w:sz w:val="44"/>
          <w:szCs w:val="44"/>
          <w:lang w:val="en-US" w:eastAsia="zh-CN" w:bidi="ar"/>
        </w:rPr>
        <w:br w:type="textWrapping"/>
      </w:r>
      <w:r>
        <w:rPr>
          <w:rFonts w:hint="eastAsia" w:ascii="方正小标宋简体" w:hAnsi="方正小标宋简体" w:eastAsia="方正小标宋简体" w:cs="方正小标宋简体"/>
          <w:snapToGrid/>
          <w:color w:val="auto"/>
          <w:kern w:val="0"/>
          <w:sz w:val="44"/>
          <w:szCs w:val="44"/>
          <w:lang w:val="en-US" w:eastAsia="zh-CN" w:bidi="ar"/>
        </w:rPr>
        <w:t>（征求意见稿）</w:t>
      </w:r>
    </w:p>
    <w:p w14:paraId="1C26BCA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0" w:lineRule="exact"/>
        <w:ind w:left="0" w:right="0" w:firstLine="640" w:firstLineChars="200"/>
        <w:jc w:val="both"/>
        <w:textAlignment w:val="auto"/>
        <w:rPr>
          <w:rFonts w:hint="eastAsia" w:ascii="仿宋" w:hAnsi="仿宋" w:eastAsia="仿宋" w:cs="仿宋"/>
          <w:color w:val="auto"/>
          <w:sz w:val="32"/>
          <w:szCs w:val="32"/>
          <w:lang w:val="en-US" w:eastAsia="zh-CN"/>
        </w:rPr>
      </w:pPr>
    </w:p>
    <w:p w14:paraId="7D925FF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全面保护野生鸟类资源是深入贯彻落实习近平生态文明思想和习近平总书记重要指示批示精神的政治任务，是维护生物系统多样性、筑牢生态安全屏障、促进人与自然和谐相处的重要举措。为切实加强我区野生鸟类保护工作，进一步严厉打击非法猎捕、交易野生鸟类违法犯罪活动，建立工作长效机制，特制定如下方案。</w:t>
      </w:r>
    </w:p>
    <w:p w14:paraId="43995FF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黑体" w:hAnsi="宋体" w:eastAsia="黑体" w:cs="黑体"/>
          <w:color w:val="auto"/>
          <w:sz w:val="32"/>
          <w:szCs w:val="32"/>
          <w:lang w:val="en-US" w:eastAsia="zh-CN"/>
        </w:rPr>
      </w:pPr>
      <w:r>
        <w:rPr>
          <w:rFonts w:hint="eastAsia" w:ascii="黑体" w:hAnsi="宋体" w:eastAsia="黑体" w:cs="黑体"/>
          <w:snapToGrid/>
          <w:color w:val="auto"/>
          <w:kern w:val="0"/>
          <w:sz w:val="32"/>
          <w:szCs w:val="32"/>
          <w:lang w:val="en-US" w:eastAsia="zh-CN" w:bidi="ar"/>
        </w:rPr>
        <w:t>一、总体要求</w:t>
      </w:r>
    </w:p>
    <w:p w14:paraId="7853F8C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坚持以习近平生态文明思想为指导，深入贯彻落实习近平总书记重要指示批示精神和中央领导同志批示要求，按照中央第四生态环境保护督察组和省委、省政府、市委、市政府安排部署，紧盯“捕、运、售、食、玩、宣”等重点环节，在全区开展全面保护野生鸟类和专项打击非法猎捕贩卖野生鸟类三年行动。坚持重拳出击，对非法猎捕贩卖野生鸟类违法犯罪行为进行全链条打击，在全区形成高压震慑态势。同时，建立完善野生鸟类全链条保护长效机制，营造全社会爱鸟护鸟良好氛围。</w:t>
      </w:r>
    </w:p>
    <w:p w14:paraId="6343132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黑体" w:hAnsi="宋体" w:eastAsia="黑体" w:cs="黑体"/>
          <w:color w:val="auto"/>
          <w:sz w:val="32"/>
          <w:szCs w:val="32"/>
          <w:lang w:val="en-US" w:eastAsia="zh-CN"/>
        </w:rPr>
      </w:pPr>
      <w:r>
        <w:rPr>
          <w:rFonts w:hint="eastAsia" w:ascii="黑体" w:hAnsi="宋体" w:eastAsia="黑体" w:cs="黑体"/>
          <w:snapToGrid/>
          <w:color w:val="auto"/>
          <w:kern w:val="0"/>
          <w:sz w:val="32"/>
          <w:szCs w:val="32"/>
          <w:lang w:val="en-US" w:eastAsia="zh-CN" w:bidi="ar"/>
        </w:rPr>
        <w:t>二、组织领导</w:t>
      </w:r>
    </w:p>
    <w:p w14:paraId="1BA19B49">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成立临潼区全面保护野生鸟类和专项打击非法猎捕贩卖野生鸟类三年行动工作专班，组成人员如下：</w:t>
      </w:r>
    </w:p>
    <w:p w14:paraId="23CDD3F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班  长：黄  可  区委书记</w:t>
      </w:r>
    </w:p>
    <w:p w14:paraId="4BA70E6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苗  吉  区委副书记、区政府区长</w:t>
      </w:r>
    </w:p>
    <w:p w14:paraId="597BC73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副班长：魏养毅  区委常委、区政府常务副区长</w:t>
      </w:r>
    </w:p>
    <w:p w14:paraId="5BEC9CF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孟俊平  区委常委、区政府副区长</w:t>
      </w:r>
    </w:p>
    <w:p w14:paraId="7AFDA51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李子阳  区委常委、区委宣传部部长</w:t>
      </w:r>
    </w:p>
    <w:p w14:paraId="702A766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陈  军  区委常委、区纪委书记、区监委主任</w:t>
      </w:r>
    </w:p>
    <w:p w14:paraId="304964C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王  鹏  区政府副区长</w:t>
      </w:r>
    </w:p>
    <w:p w14:paraId="40077A2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张  超  区政府副区长</w:t>
      </w:r>
    </w:p>
    <w:p w14:paraId="591519B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1920" w:firstLineChars="6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简国锋  区政府副区长、公安分局局长</w:t>
      </w:r>
    </w:p>
    <w:p w14:paraId="36E1E74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成员单位：区纪委监委、区委办公室、区人大常委会办公室、区政府办公室、区政协办公室、区委宣传部、区法院、区检察院、区委社会部、区委网信办、公安分局、区交通局、区市场监管局、区农业农村局、区城管执法局、区文化旅游局、区水务局、区数据和行政审批局、区秦岭保护局（区林业局）、区融媒体中心、骊山国有生态林场，各街道。</w:t>
      </w:r>
    </w:p>
    <w:p w14:paraId="4772BF5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工作专班办公室设在区秦岭保护局（区林业局），办公室主任由袁敏同志担任。办公室负责专项行动总体协调、政策解读、工作指导、机制建立、信息报送、督导检查等工作。</w:t>
      </w:r>
    </w:p>
    <w:p w14:paraId="5689F88B">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黑体" w:hAnsi="宋体" w:eastAsia="黑体" w:cs="黑体"/>
          <w:color w:val="auto"/>
          <w:lang w:val="en-US" w:eastAsia="zh-CN"/>
        </w:rPr>
      </w:pPr>
      <w:r>
        <w:rPr>
          <w:rFonts w:hint="eastAsia" w:ascii="黑体" w:hAnsi="宋体" w:eastAsia="黑体" w:cs="黑体"/>
          <w:snapToGrid/>
          <w:color w:val="auto"/>
          <w:kern w:val="0"/>
          <w:sz w:val="32"/>
          <w:szCs w:val="32"/>
          <w:lang w:val="en-US" w:eastAsia="zh-CN" w:bidi="ar"/>
        </w:rPr>
        <w:t>三、时间安排</w:t>
      </w:r>
    </w:p>
    <w:p w14:paraId="229A7536">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楷体_GB2312" w:hAnsi="楷体_GB2312" w:eastAsia="楷体_GB2312" w:cs="楷体_GB2312"/>
          <w:snapToGrid/>
          <w:color w:val="auto"/>
          <w:kern w:val="0"/>
          <w:sz w:val="32"/>
          <w:szCs w:val="32"/>
          <w:lang w:val="en-US" w:eastAsia="zh-CN" w:bidi="ar"/>
        </w:rPr>
        <w:t>（一）2025年6月底前。</w:t>
      </w:r>
      <w:r>
        <w:rPr>
          <w:rFonts w:hint="eastAsia" w:ascii="仿宋_GB2312" w:hAnsi="仿宋_GB2312" w:eastAsia="仿宋_GB2312" w:cs="仿宋_GB2312"/>
          <w:snapToGrid/>
          <w:color w:val="auto"/>
          <w:kern w:val="0"/>
          <w:sz w:val="32"/>
          <w:szCs w:val="32"/>
          <w:lang w:val="en-US" w:eastAsia="zh-CN" w:bidi="ar"/>
        </w:rPr>
        <w:t>全区排查问题整改到位，案件查办惩处到位，非法猎捕贩卖野生鸟类势头得到根本性遏制。全面摸清全区野生鸟类资源现状等底数，建立详细工作台账。整治工作取得阶段性成效。</w:t>
      </w:r>
    </w:p>
    <w:p w14:paraId="23FB4CEA">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楷体_GB2312" w:hAnsi="楷体_GB2312" w:eastAsia="楷体_GB2312" w:cs="楷体_GB2312"/>
          <w:snapToGrid/>
          <w:color w:val="auto"/>
          <w:kern w:val="0"/>
          <w:sz w:val="32"/>
          <w:szCs w:val="32"/>
          <w:lang w:val="en-US" w:eastAsia="zh-CN" w:bidi="ar"/>
        </w:rPr>
        <w:t>（二）2025年7月底前。</w:t>
      </w:r>
      <w:r>
        <w:rPr>
          <w:rFonts w:hint="eastAsia" w:ascii="仿宋_GB2312" w:hAnsi="仿宋_GB2312" w:eastAsia="仿宋_GB2312" w:cs="仿宋_GB2312"/>
          <w:snapToGrid/>
          <w:color w:val="auto"/>
          <w:kern w:val="0"/>
          <w:sz w:val="32"/>
          <w:szCs w:val="32"/>
          <w:lang w:val="en-US" w:eastAsia="zh-CN" w:bidi="ar"/>
        </w:rPr>
        <w:t>各责任单位按照工作任务分工，全面落实各项监管措施，构建起全链条监管机制，坚决预防涉野生鸟类违法犯罪发生，完成“查清打净清零”既定目标。</w:t>
      </w:r>
    </w:p>
    <w:p w14:paraId="6DBE571D">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楷体_GB2312" w:hAnsi="楷体_GB2312" w:eastAsia="楷体_GB2312" w:cs="楷体_GB2312"/>
          <w:snapToGrid/>
          <w:color w:val="auto"/>
          <w:kern w:val="0"/>
          <w:sz w:val="32"/>
          <w:szCs w:val="32"/>
          <w:lang w:val="en-US" w:eastAsia="zh-CN" w:bidi="ar"/>
        </w:rPr>
        <w:t>（三）2025年8月至2025年12月。</w:t>
      </w:r>
      <w:r>
        <w:rPr>
          <w:rFonts w:hint="eastAsia" w:ascii="仿宋_GB2312" w:hAnsi="仿宋_GB2312" w:eastAsia="仿宋_GB2312" w:cs="仿宋_GB2312"/>
          <w:snapToGrid/>
          <w:color w:val="auto"/>
          <w:kern w:val="0"/>
          <w:sz w:val="32"/>
          <w:szCs w:val="32"/>
          <w:lang w:val="en-US" w:eastAsia="zh-CN" w:bidi="ar"/>
        </w:rPr>
        <w:t>野生鸟类保护工作实现制度化、规范化。坚持严的总基调不变，严打、严查、严管非法猎捕贩卖野生鸟类问题，遏增量、消存量工作取得决定性成果。</w:t>
      </w:r>
    </w:p>
    <w:p w14:paraId="745640D4">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楷体_GB2312" w:hAnsi="楷体_GB2312" w:eastAsia="楷体_GB2312" w:cs="楷体_GB2312"/>
          <w:snapToGrid/>
          <w:color w:val="auto"/>
          <w:kern w:val="0"/>
          <w:sz w:val="32"/>
          <w:szCs w:val="32"/>
          <w:lang w:val="en-US" w:eastAsia="zh-CN" w:bidi="ar"/>
        </w:rPr>
        <w:t>（四）2026年1月至2028年6月。</w:t>
      </w:r>
      <w:r>
        <w:rPr>
          <w:rFonts w:hint="eastAsia" w:ascii="仿宋_GB2312" w:hAnsi="仿宋_GB2312" w:eastAsia="仿宋_GB2312" w:cs="仿宋_GB2312"/>
          <w:snapToGrid/>
          <w:color w:val="auto"/>
          <w:kern w:val="0"/>
          <w:sz w:val="32"/>
          <w:szCs w:val="32"/>
          <w:lang w:val="en-US" w:eastAsia="zh-CN" w:bidi="ar"/>
        </w:rPr>
        <w:t>常态化动态排查整治各类违法问题，全面巩固提升整治成果，实现问题案件清仓见底、动态清零，建立政府主导、部门协作、社会参与的长效保护机制，形成全社会共同保护野生鸟类的良好局面。</w:t>
      </w:r>
    </w:p>
    <w:p w14:paraId="40E6389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（五）2028年7月至2030年底。</w:t>
      </w:r>
      <w:r>
        <w:rPr>
          <w:rFonts w:hint="eastAsia" w:ascii="仿宋_GB2312" w:hAnsi="仿宋_GB2312" w:eastAsia="仿宋_GB2312" w:cs="仿宋_GB2312"/>
          <w:snapToGrid/>
          <w:color w:val="auto"/>
          <w:kern w:val="0"/>
          <w:sz w:val="32"/>
          <w:szCs w:val="32"/>
          <w:lang w:val="en-US" w:eastAsia="zh-CN" w:bidi="ar"/>
        </w:rPr>
        <w:t>巩固拓展3年行动成果，坚持每年开展“百日攻坚”,确保长效机制持续发挥作用，实现野生鸟类的生存环境得到持续改善、种群数量稳定增长、生物多样性得到有效维护的远景目标。</w:t>
      </w:r>
    </w:p>
    <w:p w14:paraId="17AA72A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黑体" w:hAnsi="宋体" w:eastAsia="黑体" w:cs="黑体"/>
          <w:color w:val="auto"/>
          <w:sz w:val="32"/>
          <w:szCs w:val="32"/>
          <w:lang w:val="en-US" w:eastAsia="zh-CN"/>
        </w:rPr>
      </w:pPr>
      <w:r>
        <w:rPr>
          <w:rFonts w:hint="eastAsia" w:ascii="黑体" w:hAnsi="宋体" w:eastAsia="黑体" w:cs="黑体"/>
          <w:snapToGrid/>
          <w:color w:val="auto"/>
          <w:kern w:val="0"/>
          <w:sz w:val="32"/>
          <w:szCs w:val="32"/>
          <w:lang w:val="en-US" w:eastAsia="zh-CN" w:bidi="ar"/>
        </w:rPr>
        <w:t>四、工作任务</w:t>
      </w:r>
    </w:p>
    <w:p w14:paraId="04FC4B5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（一）加强源头监管，严防非法狩猎</w:t>
      </w:r>
    </w:p>
    <w:p w14:paraId="367CDB8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1.加强林业空间管理。以骊山风景名胜区、骊山森林公园、秦岭保护区为重点，充分发挥各级林长、基层监管机构以及村组干部、网格员作用，运用无人机、远程视频监控等技术，加强对20.42万亩林地、4.83万亩湿地、4.86万亩草地排查巡查，全面清理非法猎捕工具，杜绝非法猎捕行为。</w:t>
      </w:r>
    </w:p>
    <w:p w14:paraId="2F1FF46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6D0158D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：骊山森林公园、秦始皇帝陵博物院等保护地管理单位，集体林地、草地、湿地所在村组</w:t>
      </w:r>
    </w:p>
    <w:p w14:paraId="7E6EE67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：区秦岭保护局（区林业局）</w:t>
      </w:r>
    </w:p>
    <w:p w14:paraId="08B5EE7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2.加强繁育企业管理。严格执行野生鸟类繁育企业许可、备案制度。对区内繁育企业实行台账管理、常态化巡查，重点对引种、繁育、售卖环节实施监管，严格规范养殖行为。</w:t>
      </w:r>
    </w:p>
    <w:p w14:paraId="070B181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1194629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：各鸟类繁育企业</w:t>
      </w:r>
    </w:p>
    <w:p w14:paraId="3C1DD41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：区秦岭保护局（区林业局）、区数据和行政审批局</w:t>
      </w:r>
    </w:p>
    <w:p w14:paraId="3725782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3.加强农村区域管理。以平原村庄、田间地头、设施农业、养殖场所、风险地段为重点，常态化开展查网、查套、查夹、查器等“四查”活动，杜绝非法设网、掏鸟等行为发生。</w:t>
      </w:r>
    </w:p>
    <w:p w14:paraId="745816A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355423E3">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：各村组，各养殖企业</w:t>
      </w:r>
    </w:p>
    <w:p w14:paraId="32865B7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：区农业农村局、公安分局</w:t>
      </w:r>
    </w:p>
    <w:p w14:paraId="23D826C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6"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4.加强河流水库管理。以全区11条河流，12个水库及山塘、陂塘、池塘为重点，充分发挥各级河湖长和河流、水库管理单位、基层村组干部作用，常态化巡查监管，严防捕鸟、打鸟行为发生。</w:t>
      </w:r>
    </w:p>
    <w:p w14:paraId="4DF0AE6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57DC6C14">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：河流、水库、山塘、陂塘、池塘等所在地各村组</w:t>
      </w:r>
    </w:p>
    <w:p w14:paraId="6D019FAA">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：区水务局、区秦岭保护局（区林业局）</w:t>
      </w:r>
    </w:p>
    <w:p w14:paraId="214786F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（二）加强运寄监管，严防非法运输</w:t>
      </w:r>
    </w:p>
    <w:p w14:paraId="3EFFC99A">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1.加强交通关卡查验。严查区内交通要道、高速收费站、沿山、沿河等重点路段的运输车辆、私家车辆、长途客车、网约车。加大对客运站、货运站等人员密集、流动性大场所旅客行李和随身物品、货物的查验力度，坚决斩断非法运输链条。</w:t>
      </w:r>
    </w:p>
    <w:p w14:paraId="4EA2B29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711AE1C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：各运输企业</w:t>
      </w:r>
    </w:p>
    <w:p w14:paraId="2AFA752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：公安分局</w:t>
      </w:r>
      <w:r>
        <w:rPr>
          <w:rFonts w:hint="eastAsia" w:cs="仿宋_GB2312"/>
          <w:snapToGrid/>
          <w:color w:val="auto"/>
          <w:kern w:val="0"/>
          <w:sz w:val="32"/>
          <w:szCs w:val="32"/>
          <w:lang w:val="en-US" w:eastAsia="zh-CN" w:bidi="ar"/>
        </w:rPr>
        <w:t>、</w:t>
      </w:r>
      <w:r>
        <w:rPr>
          <w:rFonts w:hint="eastAsia" w:ascii="仿宋_GB2312" w:hAnsi="仿宋_GB2312" w:eastAsia="仿宋_GB2312" w:cs="仿宋_GB2312"/>
          <w:snapToGrid/>
          <w:color w:val="auto"/>
          <w:kern w:val="0"/>
          <w:sz w:val="32"/>
          <w:szCs w:val="32"/>
          <w:lang w:val="en-US" w:eastAsia="zh-CN" w:bidi="ar"/>
        </w:rPr>
        <w:t>区交通局</w:t>
      </w:r>
    </w:p>
    <w:p w14:paraId="68F2BD86">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2.加强寄递企业监管。物流寄递企业要对收寄的物品进行严格检查。查验人员要熟悉野生鸟类及其制品的特征和识别方法。鸟类收寄过程中，要求寄件人提供详细清单和合法来源证明，对无法提供有效证明的，不得收寄并及时报告林业、公安等部门。加强对UU跑腿、顺丰同城速递等便捷运输方式的监管，切实压实托运人、承运人主体责任。</w:t>
      </w:r>
    </w:p>
    <w:p w14:paraId="747B39C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00D98DC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：寄递企业</w:t>
      </w:r>
    </w:p>
    <w:p w14:paraId="1798FFC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：区交通局、区市场监管局</w:t>
      </w:r>
    </w:p>
    <w:p w14:paraId="5A8D143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（三）加强市场监管，严防非法售卖</w:t>
      </w:r>
    </w:p>
    <w:p w14:paraId="004C7BE8">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1.规范鸟类交易行为。建立全区野生鸟类繁育企业、交易企业、宠养居民台账，制定保护野生鸟类正面清单，明确可交易、可宠养的鸟类品种范围。强化鸟类交易登记、市场准入、检验检疫等全流程闭环管理机制。</w:t>
      </w:r>
    </w:p>
    <w:p w14:paraId="33B0C875">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38FD99B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：各鸟类售卖企业、市场、鸟类繁育企业</w:t>
      </w:r>
    </w:p>
    <w:p w14:paraId="51551447">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：区市场监管局、区农业农村局、</w:t>
      </w:r>
      <w:r>
        <w:rPr>
          <w:rFonts w:hint="eastAsia" w:cs="仿宋_GB2312"/>
          <w:snapToGrid/>
          <w:color w:val="auto"/>
          <w:kern w:val="0"/>
          <w:sz w:val="32"/>
          <w:szCs w:val="32"/>
          <w:lang w:val="en-US" w:eastAsia="zh-CN" w:bidi="ar"/>
        </w:rPr>
        <w:t>区工信商务局、</w:t>
      </w:r>
      <w:r>
        <w:rPr>
          <w:rFonts w:hint="eastAsia" w:ascii="仿宋_GB2312" w:hAnsi="仿宋_GB2312" w:eastAsia="仿宋_GB2312" w:cs="仿宋_GB2312"/>
          <w:snapToGrid/>
          <w:color w:val="auto"/>
          <w:kern w:val="0"/>
          <w:sz w:val="32"/>
          <w:szCs w:val="32"/>
          <w:lang w:val="en-US" w:eastAsia="zh-CN" w:bidi="ar"/>
        </w:rPr>
        <w:t>区秦岭保护局（区林业局）</w:t>
      </w:r>
    </w:p>
    <w:p w14:paraId="553A44EB">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2.加强市场门店监管。对全区农贸市场、集贸市场、便民摊群点、宠物门店、花鸟门店、土产门店等重点市场、门店，设立“市场专管员”，通过驻场监管、定期巡查、联合检查等方式，核查经营资质、经营范围、经营品种、动物检疫等，禁止违法违规销售鸟类、鸟类制品及网、夹、套等非法禁猎工具，禁止虚假宣传野生鸟类及其制品，及时发现并处置非法交易行为。</w:t>
      </w:r>
    </w:p>
    <w:p w14:paraId="5220CB4D">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238F433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：各经营主体、市场主体</w:t>
      </w:r>
    </w:p>
    <w:p w14:paraId="00B2F0F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：区市场监管局、区城管执法局</w:t>
      </w:r>
    </w:p>
    <w:p w14:paraId="386A4E86">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3.加强餐饮企业监管。强化对餐饮场所特别是农家乐、民宿、特色餐馆、社区食堂的监督管理，严格督促各类经营户落实“不采购、不加工、不销售”野生鸟类的法律义务和主体责任。</w:t>
      </w:r>
    </w:p>
    <w:p w14:paraId="65518FFF">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76890EE8">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：各餐饮经营主体</w:t>
      </w:r>
    </w:p>
    <w:p w14:paraId="42BBB03C">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：区市场监管局、区文化旅游局</w:t>
      </w:r>
    </w:p>
    <w:p w14:paraId="75AA36D4">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4.加强网络交易监管。加大对网络交易平台、直播电商的监管力度，杜绝线上非法交易。加大对短视频、社交媒体等网络平台的监测监管力度，动态筛查清理涉野生鸟类及其制品、相关工具违规广告、信息。针对跨区域涉鸟类网络交易行为，由市场监管等部门按照职责移送属地监管部门核查处置。</w:t>
      </w:r>
    </w:p>
    <w:p w14:paraId="0A0B0038">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6391CC06">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：各平台经营单位</w:t>
      </w:r>
    </w:p>
    <w:p w14:paraId="25D1CCBC">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：区市场监管局、区委网信办、公安分局、区工信商务局</w:t>
      </w:r>
    </w:p>
    <w:p w14:paraId="3E178E7A">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（四）加强社会面管控，严禁非法养鸟</w:t>
      </w:r>
    </w:p>
    <w:p w14:paraId="578989BA">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1.加强养鸟排查。对全区215个村、47个社区，全面落实村民小组、社区责任，加强巡查排查，规范群众养鸟行为，依法收缴违法违规宠养鸟类。</w:t>
      </w:r>
    </w:p>
    <w:p w14:paraId="066188AB">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522B5359">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：各村组、社区</w:t>
      </w:r>
    </w:p>
    <w:p w14:paraId="469C0C1C">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84" w:lineRule="exact"/>
        <w:ind w:left="0" w:right="0" w:firstLine="643" w:firstLineChars="200"/>
        <w:jc w:val="both"/>
        <w:textAlignment w:val="auto"/>
        <w:rPr>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 w:hAnsi="仿宋" w:eastAsia="仿宋" w:cs="仿宋"/>
          <w:snapToGrid/>
          <w:color w:val="auto"/>
          <w:kern w:val="0"/>
          <w:sz w:val="32"/>
          <w:szCs w:val="32"/>
          <w:lang w:val="en-US" w:eastAsia="zh-CN" w:bidi="ar"/>
        </w:rPr>
        <w:t>区秦岭保护局（区林业局）</w:t>
      </w:r>
    </w:p>
    <w:p w14:paraId="025F18C0">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2.加强遛鸟排查。以公园、绿地广场、林带绿道为重点，加强对遛鸟、打鸟、掏鸟窝等行为巡查排查，及时劝阻、制止违规行为，严厉打击非法猎捕等行为。</w:t>
      </w:r>
    </w:p>
    <w:p w14:paraId="382E6116">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68568D82">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：公园绿地所在地属地村组（社区）、区住建局等</w:t>
      </w:r>
    </w:p>
    <w:p w14:paraId="4AB23256">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监管责任：</w:t>
      </w:r>
      <w:r>
        <w:rPr>
          <w:rFonts w:hint="eastAsia" w:ascii="仿宋_GB2312" w:hAnsi="仿宋_GB2312" w:eastAsia="仿宋_GB2312" w:cs="仿宋_GB2312"/>
          <w:snapToGrid/>
          <w:color w:val="auto"/>
          <w:kern w:val="0"/>
          <w:sz w:val="32"/>
          <w:szCs w:val="32"/>
          <w:lang w:val="en-US" w:eastAsia="zh-CN" w:bidi="ar"/>
        </w:rPr>
        <w:t>区城管执法局、区住建局</w:t>
      </w:r>
    </w:p>
    <w:p w14:paraId="7B39322E">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（五）加强案件查处，加大惩治力度</w:t>
      </w:r>
    </w:p>
    <w:p w14:paraId="7912841C">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1.坚持快速响应。充分发挥村组、社区神经末梢作用，通过网格员、社区和村组干部巡查走访，发现问题线索立即核查上报，涉及违法案件的，及时启动“街道吹哨、部门报到”响应机制，第一时间查办。</w:t>
      </w:r>
    </w:p>
    <w:p w14:paraId="3BE97A8D">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08A6A6E3">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：公安分局、区秦岭保护局（区林业局）、区市场监管局</w:t>
      </w:r>
    </w:p>
    <w:p w14:paraId="409757C8">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2.坚持打网打链。对排查、巡查、举报、侦查等发现的违法犯罪线索，一经查实，全面深挖彻查上下游、关联人、犯罪网络等，快批快捕快审快判，彻底打掉违法猎捕贩卖野生鸟类的利益链、产业链。通报曝光一批反面警示案例，形成高压震慑态势。</w:t>
      </w:r>
    </w:p>
    <w:p w14:paraId="6E2BBC82">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6D05FE90">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：公安分局、区秦岭保护局（区林业局）、区市场监管局</w:t>
      </w:r>
    </w:p>
    <w:p w14:paraId="5CDF68A1">
      <w:pPr>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（六）加强宣传引导，营造爱鸟氛围</w:t>
      </w:r>
    </w:p>
    <w:p w14:paraId="497D3FB5">
      <w:pPr>
        <w:pStyle w:val="9"/>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1.纳入基层社会治理。将爱鸟护鸟行动作为全区基层社会治理的主要内容，融入村居治理范畴，纳入平安建设，列入社会治理网格巡查工作范围，教育引导群众爱鸟护鸟。深入细致做好养鸟群众的思想工作，积极引导鼓励合法养殖鸟类。</w:t>
      </w:r>
    </w:p>
    <w:p w14:paraId="6EBF0D02">
      <w:pPr>
        <w:pStyle w:val="9"/>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521A6245">
      <w:pPr>
        <w:pStyle w:val="9"/>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：区委政法委、区委宣传部、区委社会部、区融媒体中心、区秦岭保护局（区林业局）</w:t>
      </w:r>
    </w:p>
    <w:p w14:paraId="41FBCBAC">
      <w:pPr>
        <w:pStyle w:val="9"/>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2.深入开展宣传行动。结合“世界野生动植物日”“爱鸟周”等重要节点，积极开展爱鸟科普“进机关、进企业、进学校、进社区、进农村、进家庭”等系列宣传主题活动，普及爱鸟护鸟常识，增强广大群众爱鸟护鸟的生态保护意识。</w:t>
      </w:r>
    </w:p>
    <w:p w14:paraId="7400E245">
      <w:pPr>
        <w:pStyle w:val="9"/>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2220E2FA">
      <w:pPr>
        <w:pStyle w:val="9"/>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：区委宣传部、区委社会部、区秦岭保护局（区林业局）、区教育局、团区委</w:t>
      </w:r>
    </w:p>
    <w:p w14:paraId="15312A2A">
      <w:pPr>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（七）加强生态修复，提升栖息环境</w:t>
      </w:r>
    </w:p>
    <w:p w14:paraId="1C2D86E6">
      <w:pPr>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1.加强生态保护修复。以鸟类栖息场所、迁徙通道为重点，严厉打击乱砍乱伐、非法采砂、破坏林地、破坏湿地等违法行为，持续优化鸟类栖息环境。</w:t>
      </w:r>
    </w:p>
    <w:p w14:paraId="19A8FC47">
      <w:pPr>
        <w:pStyle w:val="9"/>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3D16A0F0">
      <w:pPr>
        <w:pStyle w:val="9"/>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：区秦岭保护局（区林业局）、区水务局、资源规划分局、生态环境分局</w:t>
      </w:r>
    </w:p>
    <w:p w14:paraId="4CDB1676">
      <w:pPr>
        <w:keepNext w:val="0"/>
        <w:keepLines w:val="0"/>
        <w:pageBreakBefore w:val="0"/>
        <w:widowControl w:val="0"/>
        <w:suppressLineNumbers w:val="0"/>
        <w:kinsoku/>
        <w:wordWrap/>
        <w:overflowPunct w:val="0"/>
        <w:topLinePunct/>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napToGrid/>
          <w:color w:val="auto"/>
          <w:kern w:val="0"/>
          <w:sz w:val="32"/>
          <w:szCs w:val="32"/>
          <w:lang w:val="en-US" w:eastAsia="zh-CN" w:bidi="ar"/>
        </w:rPr>
        <w:t>2.加强农业生产管理。推行农业绿色生产模式，严格执行农药禁用、限用规定，鼓励群众使用驱鸟装置或者友好型防鸟网，保障鸟类安全。规范水产、畜禽养殖布局，推进和谐共生。</w:t>
      </w:r>
    </w:p>
    <w:p w14:paraId="7F4FC794">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7B0D5144">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：区农业农村局</w:t>
      </w:r>
    </w:p>
    <w:p w14:paraId="61224B2F">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snapToGrid/>
          <w:color w:val="auto"/>
          <w:kern w:val="0"/>
          <w:sz w:val="32"/>
          <w:szCs w:val="32"/>
          <w:lang w:val="en-US" w:eastAsia="zh-CN" w:bidi="ar"/>
        </w:rPr>
        <w:t>3.加强建设项目管理。严格落实光伏、水利、电力、交通设施等重大基础建设项目对鸟类环境影响评估制度，强化前置审核，最大程度减少对鸟类栖息地生态环境的影响。</w:t>
      </w:r>
    </w:p>
    <w:p w14:paraId="154045C8">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属地责任：</w:t>
      </w:r>
      <w:r>
        <w:rPr>
          <w:rFonts w:hint="eastAsia" w:ascii="仿宋_GB2312" w:hAnsi="仿宋_GB2312" w:eastAsia="仿宋_GB2312" w:cs="仿宋_GB2312"/>
          <w:snapToGrid/>
          <w:color w:val="auto"/>
          <w:kern w:val="0"/>
          <w:sz w:val="32"/>
          <w:szCs w:val="32"/>
          <w:lang w:val="en-US" w:eastAsia="zh-CN" w:bidi="ar"/>
        </w:rPr>
        <w:t>各街道、各片区</w:t>
      </w:r>
    </w:p>
    <w:p w14:paraId="46D32C16">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3" w:firstLineChars="200"/>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bCs/>
          <w:snapToGrid/>
          <w:color w:val="auto"/>
          <w:kern w:val="0"/>
          <w:sz w:val="32"/>
          <w:szCs w:val="32"/>
          <w:lang w:val="en-US" w:eastAsia="zh-CN" w:bidi="ar"/>
        </w:rPr>
        <w:t>主体责任</w:t>
      </w:r>
      <w:r>
        <w:rPr>
          <w:rFonts w:hint="eastAsia" w:ascii="仿宋_GB2312" w:hAnsi="仿宋_GB2312" w:eastAsia="仿宋_GB2312" w:cs="仿宋_GB2312"/>
          <w:snapToGrid/>
          <w:color w:val="auto"/>
          <w:kern w:val="0"/>
          <w:sz w:val="32"/>
          <w:szCs w:val="32"/>
          <w:lang w:val="en-US" w:eastAsia="zh-CN" w:bidi="ar"/>
        </w:rPr>
        <w:t>：生态环境分局</w:t>
      </w:r>
    </w:p>
    <w:p w14:paraId="07CB0027">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黑体" w:hAnsi="宋体" w:eastAsia="黑体" w:cs="黑体"/>
          <w:color w:val="auto"/>
          <w:lang w:val="en-US" w:eastAsia="zh-CN"/>
        </w:rPr>
      </w:pPr>
      <w:r>
        <w:rPr>
          <w:rFonts w:hint="eastAsia" w:ascii="黑体" w:hAnsi="宋体" w:eastAsia="黑体" w:cs="黑体"/>
          <w:snapToGrid/>
          <w:color w:val="auto"/>
          <w:kern w:val="0"/>
          <w:sz w:val="32"/>
          <w:szCs w:val="32"/>
          <w:lang w:val="en-US" w:eastAsia="zh-CN" w:bidi="ar"/>
        </w:rPr>
        <w:t>五、工作要求</w:t>
      </w:r>
    </w:p>
    <w:p w14:paraId="40DDDC67">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楷体_GB2312" w:hAnsi="楷体_GB2312" w:eastAsia="楷体_GB2312" w:cs="楷体_GB2312"/>
          <w:snapToGrid/>
          <w:color w:val="auto"/>
          <w:kern w:val="0"/>
          <w:sz w:val="32"/>
          <w:szCs w:val="32"/>
          <w:lang w:val="en-US" w:eastAsia="zh-CN" w:bidi="ar"/>
        </w:rPr>
        <w:t>(一)提高政治站位。</w:t>
      </w:r>
      <w:r>
        <w:rPr>
          <w:rFonts w:hint="eastAsia" w:ascii="仿宋_GB2312" w:hAnsi="仿宋_GB2312" w:eastAsia="仿宋_GB2312" w:cs="仿宋_GB2312"/>
          <w:snapToGrid/>
          <w:color w:val="auto"/>
          <w:kern w:val="0"/>
          <w:sz w:val="32"/>
          <w:szCs w:val="32"/>
          <w:lang w:val="en-US" w:eastAsia="zh-CN" w:bidi="ar"/>
        </w:rPr>
        <w:t>各相关部门、各街道、各片区要切实提高政治站位，从讲政治的高度认识三年行动的重大意义，坚持主要领导亲自抓、具体抓、深入抓、持续抓，确保有力有序有效推动三年行动落实落地落细。</w:t>
      </w:r>
    </w:p>
    <w:p w14:paraId="1896B41D">
      <w:pPr>
        <w:pStyle w:val="9"/>
        <w:keepNext w:val="0"/>
        <w:keepLines w:val="0"/>
        <w:pageBreakBefore w:val="0"/>
        <w:widowControl w:val="0"/>
        <w:suppressLineNumbers w:val="0"/>
        <w:kinsoku/>
        <w:wordWrap/>
        <w:overflowPunct w:val="0"/>
        <w:topLinePunct w:val="0"/>
        <w:autoSpaceDE w:val="0"/>
        <w:autoSpaceDN w:val="0"/>
        <w:bidi w:val="0"/>
        <w:adjustRightInd w:val="0"/>
        <w:snapToGrid w:val="0"/>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lang w:val="en-US" w:eastAsia="zh-CN"/>
        </w:rPr>
      </w:pPr>
      <w:r>
        <w:rPr>
          <w:rFonts w:hint="eastAsia" w:ascii="楷体_GB2312" w:hAnsi="楷体_GB2312" w:eastAsia="楷体_GB2312" w:cs="楷体_GB2312"/>
          <w:snapToGrid/>
          <w:color w:val="auto"/>
          <w:kern w:val="0"/>
          <w:sz w:val="32"/>
          <w:szCs w:val="32"/>
          <w:lang w:val="en-US" w:eastAsia="zh-CN" w:bidi="ar"/>
        </w:rPr>
        <w:t>(二)加强部门联动。</w:t>
      </w:r>
      <w:r>
        <w:rPr>
          <w:rFonts w:hint="eastAsia" w:ascii="仿宋_GB2312" w:hAnsi="仿宋_GB2312" w:eastAsia="仿宋_GB2312" w:cs="仿宋_GB2312"/>
          <w:snapToGrid/>
          <w:color w:val="auto"/>
          <w:kern w:val="0"/>
          <w:sz w:val="32"/>
          <w:szCs w:val="32"/>
          <w:lang w:val="en-US" w:eastAsia="zh-CN" w:bidi="ar"/>
        </w:rPr>
        <w:t>区三年行动工作专班办公室要充分发挥牵头抓总作用，建立各成员单位参与的</w:t>
      </w:r>
      <w:r>
        <w:rPr>
          <w:rFonts w:hint="eastAsia" w:cs="仿宋_GB2312"/>
          <w:snapToGrid/>
          <w:color w:val="auto"/>
          <w:kern w:val="0"/>
          <w:sz w:val="32"/>
          <w:szCs w:val="32"/>
          <w:lang w:val="en-US" w:eastAsia="zh-CN" w:bidi="ar"/>
        </w:rPr>
        <w:t>联席会议制度</w:t>
      </w:r>
      <w:r>
        <w:rPr>
          <w:rFonts w:hint="eastAsia" w:ascii="仿宋_GB2312" w:hAnsi="仿宋_GB2312" w:eastAsia="仿宋_GB2312" w:cs="仿宋_GB2312"/>
          <w:snapToGrid/>
          <w:color w:val="auto"/>
          <w:kern w:val="0"/>
          <w:sz w:val="32"/>
          <w:szCs w:val="32"/>
          <w:lang w:val="en-US" w:eastAsia="zh-CN" w:bidi="ar"/>
        </w:rPr>
        <w:t>，定</w:t>
      </w:r>
      <w:bookmarkStart w:id="0" w:name="_GoBack"/>
      <w:bookmarkEnd w:id="0"/>
      <w:r>
        <w:rPr>
          <w:rFonts w:hint="eastAsia" w:ascii="仿宋_GB2312" w:hAnsi="仿宋_GB2312" w:eastAsia="仿宋_GB2312" w:cs="仿宋_GB2312"/>
          <w:snapToGrid/>
          <w:color w:val="auto"/>
          <w:kern w:val="0"/>
          <w:sz w:val="32"/>
          <w:szCs w:val="32"/>
          <w:lang w:val="en-US" w:eastAsia="zh-CN" w:bidi="ar"/>
        </w:rPr>
        <w:t>期调度、会商研判、解决问题。各相关部门、各街道、各片区要坚持系统思维，靠前一步，主动作为，做到条块结合，“条”上突出部门牵头，“块”上发挥属地统筹，细化“街道吹哨、部门报到”工作流程，确保发现问题快响应、快到位、快处置。要进一步健全完善全链条监管机制，形成各司其职、齐抓共管、协同高效的野生鸟类保护共治共管工作格局。</w:t>
      </w:r>
    </w:p>
    <w:p w14:paraId="741F8CE8">
      <w:pPr>
        <w:keepNext w:val="0"/>
        <w:keepLines w:val="0"/>
        <w:pageBreakBefore w:val="0"/>
        <w:widowControl w:val="0"/>
        <w:suppressLineNumbers w:val="0"/>
        <w:kinsoku/>
        <w:wordWrap/>
        <w:overflowPunct w:val="0"/>
        <w:topLinePunct w:val="0"/>
        <w:autoSpaceDE/>
        <w:autoSpaceDN w:val="0"/>
        <w:bidi w:val="0"/>
        <w:adjustRightInd/>
        <w:snapToGrid/>
        <w:spacing w:before="0" w:beforeAutospacing="0" w:after="0" w:afterAutospacing="0" w:line="570" w:lineRule="exact"/>
        <w:ind w:left="0" w:right="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snapToGrid/>
          <w:color w:val="auto"/>
          <w:kern w:val="0"/>
          <w:sz w:val="32"/>
          <w:szCs w:val="32"/>
          <w:lang w:val="en-US" w:eastAsia="zh-CN" w:bidi="ar"/>
        </w:rPr>
        <w:t>（三）严明工作纪律</w:t>
      </w:r>
      <w:r>
        <w:rPr>
          <w:rFonts w:hint="eastAsia" w:ascii="仿宋_GB2312" w:hAnsi="仿宋_GB2312" w:eastAsia="仿宋_GB2312" w:cs="仿宋_GB2312"/>
          <w:snapToGrid/>
          <w:color w:val="auto"/>
          <w:kern w:val="0"/>
          <w:sz w:val="32"/>
          <w:szCs w:val="32"/>
          <w:lang w:val="en-US" w:eastAsia="zh-CN" w:bidi="ar"/>
        </w:rPr>
        <w:t>。专班办公室要联合区委督查室、区政府督查室对各相关部门、街道、片区工作开展情况定期督导检查，对各单位工作中存在的困难和问题及时研究解决，并对各单位工作开展情况形成督查报告报工作专班。督导中发现相关违纪违法行为线索，要及时移送纪检监察机关。区纪委监委要对三年行动工作中不作为、慢作为、乱作为特别是弄虚作假、虚报瞒报的单位和个人，一查到底，绝不姑息，确保行动取得实效。</w:t>
      </w:r>
    </w:p>
    <w:p w14:paraId="1A84E8BC">
      <w:pPr>
        <w:rPr>
          <w:rFonts w:hint="eastAsia" w:ascii="Times New Roman" w:hAnsi="Times New Roman" w:cs="Times New Roman"/>
          <w:b w:val="0"/>
          <w:bCs w:val="0"/>
          <w:lang w:val="en-US" w:eastAsia="zh-CN"/>
        </w:rPr>
      </w:pPr>
    </w:p>
    <w:sectPr>
      <w:headerReference r:id="rId3" w:type="default"/>
      <w:footerReference r:id="rId4" w:type="default"/>
      <w:footerReference r:id="rId5" w:type="even"/>
      <w:pgSz w:w="11906" w:h="16838"/>
      <w:pgMar w:top="2098" w:right="1474" w:bottom="1984" w:left="1587" w:header="851" w:footer="992" w:gutter="0"/>
      <w:pgNumType w:fmt="decimal" w:start="1"/>
      <w:cols w:space="0" w:num="1"/>
      <w:rtlGutter w:val="0"/>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AA7AD">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-243840</wp:posOffset>
              </wp:positionV>
              <wp:extent cx="90297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902970" cy="1828800"/>
                      </a:xfrm>
                      <a:prstGeom prst="rect">
                        <a:avLst/>
                      </a:prstGeom>
                      <a:noFill/>
                      <a:ln w="6350">
                        <a:noFill/>
                      </a:ln>
                      <a:effectLst/>
                    </wps:spPr>
                    <wps:txbx>
                      <w:txbxContent>
                        <w:p w14:paraId="0563423F">
                          <w:pPr>
                            <w:pStyle w:val="8"/>
                            <w:jc w:val="center"/>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9.2pt;height:144pt;width:71.1pt;mso-position-horizontal:outside;mso-position-horizontal-relative:margin;z-index:251659264;mso-width-relative:page;mso-height-relative:page;" filled="f" stroked="f" coordsize="21600,21600" o:gfxdata="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1S/wl2AAAAAgBAAAPAAAAAAAAAAEAIAAAACIAAABk&#10;cnMvZG93bnJldi54bWxQSwECFAAUAAAACACHTuJAoi/y0D8CAAByBAAADgAAAAAAAAABACAAAAAn&#10;AQAAZHJzL2Uyb0RvYy54bWxQSwUGAAAAAAYABgBZAQAA2AUAAAAA&#10;">
              <v:fill on="f" focussize="0,0"/>
              <v:stroke on="f" weight="0.5pt"/>
              <v:imagedata o:title=""/>
              <o:lock v:ext="edit" aspectratio="f"/>
              <v:textbox inset="0mm,0mm,0mm,0mm" style="mso-fit-shape-to-text:t;">
                <w:txbxContent>
                  <w:p w14:paraId="0563423F">
                    <w:pPr>
                      <w:pStyle w:val="8"/>
                      <w:jc w:val="center"/>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11E4D">
    <w:pPr>
      <w:pStyle w:val="8"/>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A2A91D3">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vgJmo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L21jW7&#10;un+AObQsbPS95TFNlMrb5T5A2qR4FKhXBZ2KB0xi6tl5a+Ko/3lOUY//FI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KvgJmo5AgAAcQQAAA4AAAAAAAAAAQAgAAAAHwEAAGRycy9lMm9Eb2Mu&#10;eG1sUEsFBgAAAAAGAAYAWQEAAMoFAAAAAA==&#10;">
              <v:fill on="f" focussize="0,0"/>
              <v:stroke on="f" weight="0.5pt"/>
              <v:imagedata o:title=""/>
              <o:lock v:ext="edit" aspectratio="f"/>
              <v:textbox inset="0mm,0mm,0mm,0mm" style="mso-fit-shape-to-text:t;">
                <w:txbxContent>
                  <w:p w14:paraId="7A2A91D3">
                    <w:pPr>
                      <w:pStyle w:val="8"/>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18952">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290"/>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0YmNhZjc3MGVmODVkYTZkNWNhNGNiMDA1MjllMWYifQ=="/>
  </w:docVars>
  <w:rsids>
    <w:rsidRoot w:val="00A15D4E"/>
    <w:rsid w:val="000548AE"/>
    <w:rsid w:val="000C0E91"/>
    <w:rsid w:val="000E0E94"/>
    <w:rsid w:val="001F2446"/>
    <w:rsid w:val="001F5B21"/>
    <w:rsid w:val="001F6CE7"/>
    <w:rsid w:val="00203E2A"/>
    <w:rsid w:val="00236579"/>
    <w:rsid w:val="00257C36"/>
    <w:rsid w:val="002A0B76"/>
    <w:rsid w:val="002A0CE5"/>
    <w:rsid w:val="00316DD1"/>
    <w:rsid w:val="003550AC"/>
    <w:rsid w:val="00374DE9"/>
    <w:rsid w:val="003A6FCA"/>
    <w:rsid w:val="00464638"/>
    <w:rsid w:val="0046492E"/>
    <w:rsid w:val="004B2F79"/>
    <w:rsid w:val="005256AF"/>
    <w:rsid w:val="00570485"/>
    <w:rsid w:val="005E6F6D"/>
    <w:rsid w:val="00617FBF"/>
    <w:rsid w:val="006430A5"/>
    <w:rsid w:val="006506A9"/>
    <w:rsid w:val="006F2DD7"/>
    <w:rsid w:val="007344CA"/>
    <w:rsid w:val="0076259F"/>
    <w:rsid w:val="007856B4"/>
    <w:rsid w:val="008825B8"/>
    <w:rsid w:val="008B56B1"/>
    <w:rsid w:val="008D6016"/>
    <w:rsid w:val="00A15D4E"/>
    <w:rsid w:val="00A95FFB"/>
    <w:rsid w:val="00AF002E"/>
    <w:rsid w:val="00B76825"/>
    <w:rsid w:val="00B85C82"/>
    <w:rsid w:val="00BF1C47"/>
    <w:rsid w:val="00C633E4"/>
    <w:rsid w:val="00C84299"/>
    <w:rsid w:val="00C87D8A"/>
    <w:rsid w:val="00D732C7"/>
    <w:rsid w:val="00DE0D59"/>
    <w:rsid w:val="00DF1A06"/>
    <w:rsid w:val="00E0604B"/>
    <w:rsid w:val="00E2219F"/>
    <w:rsid w:val="00E234C2"/>
    <w:rsid w:val="00EA4224"/>
    <w:rsid w:val="00EF6653"/>
    <w:rsid w:val="00F625F9"/>
    <w:rsid w:val="00F70D01"/>
    <w:rsid w:val="00FC6966"/>
    <w:rsid w:val="016F17E3"/>
    <w:rsid w:val="0573173F"/>
    <w:rsid w:val="06AB60C8"/>
    <w:rsid w:val="076833B9"/>
    <w:rsid w:val="092D4F5A"/>
    <w:rsid w:val="09A01E43"/>
    <w:rsid w:val="0A0C4893"/>
    <w:rsid w:val="0A8320EB"/>
    <w:rsid w:val="0FBA55CD"/>
    <w:rsid w:val="112D6732"/>
    <w:rsid w:val="130F2F8F"/>
    <w:rsid w:val="137B0C99"/>
    <w:rsid w:val="158B4C80"/>
    <w:rsid w:val="16876E56"/>
    <w:rsid w:val="17A30588"/>
    <w:rsid w:val="17C0399D"/>
    <w:rsid w:val="1991582D"/>
    <w:rsid w:val="1A206DAF"/>
    <w:rsid w:val="1C566D90"/>
    <w:rsid w:val="1C964CCC"/>
    <w:rsid w:val="1E4B7669"/>
    <w:rsid w:val="1EA04D66"/>
    <w:rsid w:val="2031587A"/>
    <w:rsid w:val="228A5EAF"/>
    <w:rsid w:val="228B619A"/>
    <w:rsid w:val="22F6506F"/>
    <w:rsid w:val="24595B72"/>
    <w:rsid w:val="25BC4683"/>
    <w:rsid w:val="261431BE"/>
    <w:rsid w:val="26F52927"/>
    <w:rsid w:val="280379AF"/>
    <w:rsid w:val="28225EBA"/>
    <w:rsid w:val="288A7DDB"/>
    <w:rsid w:val="2A4E7AC9"/>
    <w:rsid w:val="2BDA2E28"/>
    <w:rsid w:val="2CD71115"/>
    <w:rsid w:val="2E9B0696"/>
    <w:rsid w:val="2F604CE8"/>
    <w:rsid w:val="307206DA"/>
    <w:rsid w:val="30B71AB5"/>
    <w:rsid w:val="315C34A7"/>
    <w:rsid w:val="3211499A"/>
    <w:rsid w:val="32A45F3D"/>
    <w:rsid w:val="33B30C59"/>
    <w:rsid w:val="3665460E"/>
    <w:rsid w:val="36690716"/>
    <w:rsid w:val="36A858D0"/>
    <w:rsid w:val="377759CE"/>
    <w:rsid w:val="379B6273"/>
    <w:rsid w:val="39A4757E"/>
    <w:rsid w:val="3DBB0544"/>
    <w:rsid w:val="3EB31640"/>
    <w:rsid w:val="3FB35DA1"/>
    <w:rsid w:val="3FBD1F58"/>
    <w:rsid w:val="3FF04570"/>
    <w:rsid w:val="404B17A6"/>
    <w:rsid w:val="405D6085"/>
    <w:rsid w:val="41C37A62"/>
    <w:rsid w:val="41E308B2"/>
    <w:rsid w:val="42F43A1B"/>
    <w:rsid w:val="44BB092A"/>
    <w:rsid w:val="4791660D"/>
    <w:rsid w:val="482D4C98"/>
    <w:rsid w:val="4AD36F68"/>
    <w:rsid w:val="4E092CA1"/>
    <w:rsid w:val="50953188"/>
    <w:rsid w:val="51FC3D2C"/>
    <w:rsid w:val="530E25BE"/>
    <w:rsid w:val="5325057D"/>
    <w:rsid w:val="54465448"/>
    <w:rsid w:val="551E6341"/>
    <w:rsid w:val="5757623C"/>
    <w:rsid w:val="577C7118"/>
    <w:rsid w:val="579F7A2D"/>
    <w:rsid w:val="5BC414F3"/>
    <w:rsid w:val="5C9041CB"/>
    <w:rsid w:val="5D261179"/>
    <w:rsid w:val="5D2612D7"/>
    <w:rsid w:val="5E5B4E53"/>
    <w:rsid w:val="5E75740E"/>
    <w:rsid w:val="5F210CF3"/>
    <w:rsid w:val="5F821E3B"/>
    <w:rsid w:val="60A02500"/>
    <w:rsid w:val="62E73D16"/>
    <w:rsid w:val="637C4838"/>
    <w:rsid w:val="65B33352"/>
    <w:rsid w:val="67317098"/>
    <w:rsid w:val="68A93DF8"/>
    <w:rsid w:val="698E3214"/>
    <w:rsid w:val="6A5C61DA"/>
    <w:rsid w:val="6AB2788B"/>
    <w:rsid w:val="6B4559EA"/>
    <w:rsid w:val="6C256AA0"/>
    <w:rsid w:val="6C3C3F41"/>
    <w:rsid w:val="6CC9558D"/>
    <w:rsid w:val="6D6F3623"/>
    <w:rsid w:val="7023779A"/>
    <w:rsid w:val="70952446"/>
    <w:rsid w:val="71BD4540"/>
    <w:rsid w:val="738C51E4"/>
    <w:rsid w:val="74600FBD"/>
    <w:rsid w:val="74794E80"/>
    <w:rsid w:val="74B43457"/>
    <w:rsid w:val="74BD5AC4"/>
    <w:rsid w:val="753E778D"/>
    <w:rsid w:val="7556590B"/>
    <w:rsid w:val="76310ABE"/>
    <w:rsid w:val="76733229"/>
    <w:rsid w:val="76F61765"/>
    <w:rsid w:val="77260942"/>
    <w:rsid w:val="77BF2823"/>
    <w:rsid w:val="7A603ADE"/>
    <w:rsid w:val="7A8A71E6"/>
    <w:rsid w:val="7CFC38C7"/>
    <w:rsid w:val="7D66198F"/>
    <w:rsid w:val="7F166206"/>
    <w:rsid w:val="D7FB97CA"/>
    <w:rsid w:val="F3F6C500"/>
    <w:rsid w:val="F6BD6742"/>
    <w:rsid w:val="FDFF3382"/>
    <w:rsid w:val="FF252757"/>
    <w:rsid w:val="FF5F73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
      <w:kern w:val="2"/>
      <w:sz w:val="32"/>
      <w:szCs w:val="32"/>
      <w:lang w:val="en-US" w:eastAsia="zh-CN" w:bidi="ar-SA"/>
    </w:rPr>
  </w:style>
  <w:style w:type="character" w:default="1" w:styleId="14">
    <w:name w:val="Default Paragraph Font"/>
    <w:link w:val="15"/>
    <w:semiHidden/>
    <w:qFormat/>
    <w:uiPriority w:val="0"/>
  </w:style>
  <w:style w:type="table" w:default="1" w:styleId="12">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Normal Indent"/>
    <w:basedOn w:val="1"/>
    <w:qFormat/>
    <w:uiPriority w:val="99"/>
    <w:pPr>
      <w:ind w:firstLine="200" w:firstLineChars="200"/>
    </w:pPr>
    <w:rPr>
      <w:rFonts w:eastAsia="楷体_GB2312"/>
    </w:rPr>
  </w:style>
  <w:style w:type="paragraph" w:styleId="3">
    <w:name w:val="Body Text"/>
    <w:basedOn w:val="1"/>
    <w:next w:val="1"/>
    <w:link w:val="26"/>
    <w:unhideWhenUsed/>
    <w:qFormat/>
    <w:uiPriority w:val="99"/>
    <w:pPr>
      <w:spacing w:after="120"/>
    </w:pPr>
    <w:rPr>
      <w:rFonts w:eastAsia="黑体"/>
      <w:sz w:val="32"/>
      <w:szCs w:val="20"/>
    </w:rPr>
  </w:style>
  <w:style w:type="paragraph" w:styleId="4">
    <w:name w:val="Body Text Indent"/>
    <w:basedOn w:val="1"/>
    <w:link w:val="24"/>
    <w:qFormat/>
    <w:uiPriority w:val="0"/>
    <w:pPr>
      <w:spacing w:after="120" w:afterLines="0" w:afterAutospacing="0"/>
      <w:ind w:left="420" w:leftChars="200"/>
    </w:pPr>
  </w:style>
  <w:style w:type="paragraph" w:styleId="5">
    <w:name w:val="Plain Text"/>
    <w:basedOn w:val="1"/>
    <w:next w:val="6"/>
    <w:link w:val="18"/>
    <w:qFormat/>
    <w:uiPriority w:val="0"/>
    <w:rPr>
      <w:rFonts w:ascii="宋体" w:hAnsi="Courier New" w:cs="Courier New"/>
      <w:szCs w:val="21"/>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Date"/>
    <w:basedOn w:val="1"/>
    <w:next w:val="1"/>
    <w:link w:val="17"/>
    <w:qFormat/>
    <w:uiPriority w:val="0"/>
    <w:pPr>
      <w:ind w:left="100" w:leftChars="2500"/>
    </w:pPr>
    <w:rPr>
      <w:rFonts w:ascii="宋体" w:hAnsi="宋体"/>
      <w:sz w:val="28"/>
    </w:rPr>
  </w:style>
  <w:style w:type="paragraph" w:styleId="8">
    <w:name w:val="footer"/>
    <w:basedOn w:val="1"/>
    <w:link w:val="27"/>
    <w:qFormat/>
    <w:uiPriority w:val="0"/>
    <w:pPr>
      <w:tabs>
        <w:tab w:val="center" w:pos="4153"/>
        <w:tab w:val="right" w:pos="8306"/>
      </w:tabs>
      <w:snapToGrid w:val="0"/>
      <w:jc w:val="left"/>
    </w:pPr>
    <w:rPr>
      <w:sz w:val="18"/>
    </w:rPr>
  </w:style>
  <w:style w:type="paragraph" w:styleId="9">
    <w:name w:val="Normal (Web)"/>
    <w:basedOn w:val="1"/>
    <w:qFormat/>
    <w:uiPriority w:val="0"/>
    <w:rPr>
      <w:sz w:val="24"/>
    </w:rPr>
  </w:style>
  <w:style w:type="paragraph" w:styleId="10">
    <w:name w:val="Title"/>
    <w:basedOn w:val="1"/>
    <w:next w:val="1"/>
    <w:qFormat/>
    <w:uiPriority w:val="10"/>
    <w:pPr>
      <w:spacing w:before="240" w:after="60"/>
      <w:jc w:val="center"/>
      <w:outlineLvl w:val="0"/>
    </w:pPr>
    <w:rPr>
      <w:rFonts w:eastAsia="宋体" w:asciiTheme="majorHAnsi" w:hAnsiTheme="majorHAnsi" w:cstheme="majorBidi"/>
      <w:b/>
      <w:bCs/>
    </w:rPr>
  </w:style>
  <w:style w:type="paragraph" w:styleId="11">
    <w:name w:val="Body Text First Indent 2"/>
    <w:basedOn w:val="4"/>
    <w:link w:val="25"/>
    <w:qFormat/>
    <w:uiPriority w:val="0"/>
    <w:pPr>
      <w:ind w:firstLine="420" w:firstLineChars="200"/>
    </w:p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5">
    <w:name w:val="Char1"/>
    <w:basedOn w:val="1"/>
    <w:next w:val="1"/>
    <w:link w:val="14"/>
    <w:qFormat/>
    <w:uiPriority w:val="0"/>
    <w:pPr>
      <w:keepNext/>
      <w:keepLines/>
      <w:widowControl/>
      <w:adjustRightInd w:val="0"/>
      <w:spacing w:before="40" w:after="40" w:line="360" w:lineRule="auto"/>
      <w:ind w:firstLine="200" w:firstLineChars="200"/>
      <w:outlineLvl w:val="3"/>
    </w:pPr>
    <w:rPr>
      <w:rFonts w:eastAsia="仿宋_GB2312" w:cs="宋体"/>
      <w:b/>
      <w:kern w:val="0"/>
      <w:sz w:val="24"/>
      <w:szCs w:val="28"/>
    </w:rPr>
  </w:style>
  <w:style w:type="character" w:styleId="16">
    <w:name w:val="Hyperlink"/>
    <w:basedOn w:val="14"/>
    <w:qFormat/>
    <w:uiPriority w:val="0"/>
    <w:rPr>
      <w:color w:val="000000"/>
      <w:sz w:val="24"/>
      <w:szCs w:val="24"/>
      <w:u w:val="none"/>
    </w:rPr>
  </w:style>
  <w:style w:type="character" w:customStyle="1" w:styleId="17">
    <w:name w:val=" Char Char2"/>
    <w:basedOn w:val="14"/>
    <w:link w:val="7"/>
    <w:semiHidden/>
    <w:qFormat/>
    <w:uiPriority w:val="0"/>
    <w:rPr>
      <w:rFonts w:ascii="宋体" w:hAnsi="宋体" w:eastAsia="宋体"/>
      <w:kern w:val="2"/>
      <w:sz w:val="28"/>
      <w:szCs w:val="24"/>
      <w:lang w:val="en-US" w:eastAsia="zh-CN" w:bidi="ar-SA"/>
    </w:rPr>
  </w:style>
  <w:style w:type="character" w:customStyle="1" w:styleId="18">
    <w:name w:val=" Char Char"/>
    <w:basedOn w:val="14"/>
    <w:link w:val="5"/>
    <w:qFormat/>
    <w:locked/>
    <w:uiPriority w:val="0"/>
    <w:rPr>
      <w:rFonts w:ascii="宋体" w:hAnsi="Courier New" w:eastAsia="宋体" w:cs="Courier New"/>
      <w:kern w:val="2"/>
      <w:sz w:val="21"/>
      <w:szCs w:val="21"/>
      <w:lang w:val="en-US" w:eastAsia="zh-CN" w:bidi="ar-SA"/>
    </w:rPr>
  </w:style>
  <w:style w:type="paragraph" w:customStyle="1" w:styleId="19">
    <w:name w:val=" Char1"/>
    <w:basedOn w:val="1"/>
    <w:qFormat/>
    <w:uiPriority w:val="0"/>
    <w:rPr>
      <w:rFonts w:ascii="Tahoma" w:hAnsi="Tahoma"/>
      <w:sz w:val="24"/>
      <w:szCs w:val="20"/>
    </w:rPr>
  </w:style>
  <w:style w:type="paragraph" w:customStyle="1" w:styleId="20">
    <w:name w:val="p0"/>
    <w:basedOn w:val="1"/>
    <w:qFormat/>
    <w:uiPriority w:val="0"/>
    <w:pPr>
      <w:widowControl/>
    </w:pPr>
    <w:rPr>
      <w:rFonts w:eastAsia="Times New Roman"/>
      <w:kern w:val="0"/>
      <w:sz w:val="20"/>
      <w:szCs w:val="21"/>
    </w:rPr>
  </w:style>
  <w:style w:type="table" w:customStyle="1" w:styleId="21">
    <w:name w:val="Table Normal"/>
    <w:semiHidden/>
    <w:unhideWhenUsed/>
    <w:qFormat/>
    <w:uiPriority w:val="0"/>
    <w:rPr>
      <w:rFonts w:ascii="Arial" w:hAnsi="Arial" w:cs="Arial" w:eastAsiaTheme="minorEastAsia"/>
    </w:rPr>
    <w:tblPr>
      <w:tblCellMar>
        <w:top w:w="0" w:type="dxa"/>
        <w:left w:w="0" w:type="dxa"/>
        <w:bottom w:w="0" w:type="dxa"/>
        <w:right w:w="0" w:type="dxa"/>
      </w:tblCellMar>
    </w:tblPr>
  </w:style>
  <w:style w:type="paragraph" w:customStyle="1" w:styleId="22">
    <w:name w:val="_Style 3"/>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23">
    <w:name w:val="HTML 预设格式1"/>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sz w:val="24"/>
      <w:szCs w:val="24"/>
    </w:rPr>
  </w:style>
  <w:style w:type="character" w:customStyle="1" w:styleId="24">
    <w:name w:val="正文文本缩进 Char"/>
    <w:basedOn w:val="14"/>
    <w:link w:val="4"/>
    <w:qFormat/>
    <w:uiPriority w:val="0"/>
    <w:rPr>
      <w:rFonts w:hint="default" w:ascii="Arial" w:hAnsi="Arial" w:eastAsia="Arial" w:cs="Arial"/>
      <w:snapToGrid w:val="0"/>
      <w:color w:val="000000"/>
      <w:sz w:val="21"/>
      <w:szCs w:val="21"/>
      <w:lang w:eastAsia="en-US"/>
    </w:rPr>
  </w:style>
  <w:style w:type="character" w:customStyle="1" w:styleId="25">
    <w:name w:val="正文首行缩进 2 Char"/>
    <w:basedOn w:val="24"/>
    <w:link w:val="11"/>
    <w:qFormat/>
    <w:uiPriority w:val="0"/>
    <w:rPr>
      <w:rFonts w:hint="default" w:ascii="Arial" w:hAnsi="Arial" w:eastAsia="Arial" w:cs="Arial"/>
      <w:snapToGrid w:val="0"/>
      <w:color w:val="000000"/>
      <w:sz w:val="21"/>
      <w:szCs w:val="21"/>
      <w:lang w:eastAsia="en-US"/>
    </w:rPr>
  </w:style>
  <w:style w:type="character" w:customStyle="1" w:styleId="26">
    <w:name w:val="正文文本 Char"/>
    <w:basedOn w:val="14"/>
    <w:link w:val="3"/>
    <w:qFormat/>
    <w:uiPriority w:val="0"/>
    <w:rPr>
      <w:rFonts w:hint="eastAsia" w:ascii="仿宋" w:hAnsi="仿宋" w:eastAsia="仿宋" w:cs="仿宋"/>
      <w:snapToGrid w:val="0"/>
      <w:color w:val="000000"/>
      <w:sz w:val="32"/>
      <w:szCs w:val="32"/>
      <w:lang w:eastAsia="en-US"/>
    </w:rPr>
  </w:style>
  <w:style w:type="character" w:customStyle="1" w:styleId="27">
    <w:name w:val="页脚 Char"/>
    <w:basedOn w:val="14"/>
    <w:link w:val="8"/>
    <w:qFormat/>
    <w:uiPriority w:val="0"/>
    <w:rPr>
      <w:rFonts w:hint="default" w:ascii="Arial" w:hAnsi="Arial" w:eastAsia="Arial" w:cs="Arial"/>
      <w:snapToGrid w:val="0"/>
      <w:color w:val="000000"/>
      <w:sz w:val="18"/>
      <w:szCs w:val="18"/>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区委办公室</Company>
  <Pages>11</Pages>
  <Words>4602</Words>
  <Characters>4662</Characters>
  <Lines>7</Lines>
  <Paragraphs>2</Paragraphs>
  <TotalTime>10</TotalTime>
  <ScaleCrop>false</ScaleCrop>
  <LinksUpToDate>false</LinksUpToDate>
  <CharactersWithSpaces>4692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2012-09-03T18:39:00Z</dcterms:created>
  <dc:creator>雨林木风</dc:creator>
  <cp:lastModifiedBy>WPS_1544492502</cp:lastModifiedBy>
  <cp:lastPrinted>2025-07-30T10:09:00Z</cp:lastPrinted>
  <dcterms:modified xsi:type="dcterms:W3CDTF">2025-11-07T08:57:41Z</dcterms:modified>
  <cp:revision>71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B4F1F15E17E1474DA4AD7CDEE24B7ED7_13</vt:lpwstr>
  </property>
  <property fmtid="{D5CDD505-2E9C-101B-9397-08002B2CF9AE}" pid="4" name="KSOTemplateDocerSaveRecord">
    <vt:lpwstr>eyJoZGlkIjoiYzhjZjI2YmI5ZDhiOTAxOWJiMWJhOWUxNmExZWZkYTgiLCJ1c2VySWQiOiI0NDIwOTQ2MzQifQ==</vt:lpwstr>
  </property>
</Properties>
</file>