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FAF10">
      <w:pPr>
        <w:spacing w:line="276" w:lineRule="auto"/>
        <w:jc w:val="center"/>
        <w:rPr>
          <w:rFonts w:hint="default" w:eastAsia="仿宋_GB2312"/>
          <w:sz w:val="36"/>
          <w:szCs w:val="36"/>
        </w:rPr>
      </w:pPr>
    </w:p>
    <w:p w14:paraId="49104F11">
      <w:pPr>
        <w:spacing w:line="360" w:lineRule="auto"/>
        <w:jc w:val="center"/>
        <w:rPr>
          <w:rFonts w:hint="default" w:eastAsia="仿宋_GB2312"/>
          <w:sz w:val="36"/>
          <w:szCs w:val="36"/>
          <w:lang w:val="en-US" w:eastAsia="zh-CN"/>
        </w:rPr>
      </w:pPr>
      <w:r>
        <w:rPr>
          <w:rFonts w:hint="eastAsia" w:eastAsia="仿宋_GB2312"/>
          <w:sz w:val="36"/>
          <w:szCs w:val="36"/>
          <w:lang w:val="en-US" w:eastAsia="zh-CN"/>
        </w:rPr>
        <w:t xml:space="preserve">       </w:t>
      </w:r>
    </w:p>
    <w:p w14:paraId="10E58B39">
      <w:pPr>
        <w:snapToGrid w:val="0"/>
        <w:spacing w:afterLines="50" w:line="360" w:lineRule="auto"/>
        <w:jc w:val="center"/>
        <w:rPr>
          <w:rFonts w:hint="default" w:eastAsia="仿宋_GB2312"/>
          <w:sz w:val="44"/>
          <w:szCs w:val="44"/>
        </w:rPr>
      </w:pPr>
    </w:p>
    <w:p w14:paraId="61AB49A6">
      <w:pPr>
        <w:snapToGrid w:val="0"/>
        <w:spacing w:afterLines="50" w:line="300" w:lineRule="auto"/>
        <w:jc w:val="center"/>
        <w:rPr>
          <w:rFonts w:hint="default" w:eastAsia="仿宋_GB2312"/>
          <w:sz w:val="28"/>
          <w:szCs w:val="28"/>
        </w:rPr>
      </w:pPr>
    </w:p>
    <w:p w14:paraId="6BA38915">
      <w:pPr>
        <w:snapToGrid w:val="0"/>
        <w:spacing w:line="240" w:lineRule="atLeast"/>
        <w:jc w:val="center"/>
        <w:rPr>
          <w:rFonts w:hint="default" w:eastAsia="仿宋_GB2312"/>
          <w:szCs w:val="21"/>
        </w:rPr>
      </w:pPr>
      <w:r>
        <w:rPr>
          <w:rFonts w:eastAsia="仿宋_GB2312"/>
          <w:sz w:val="44"/>
          <w:szCs w:val="44"/>
        </w:rPr>
        <w:t xml:space="preserve">                    </w:t>
      </w:r>
      <w:r>
        <w:rPr>
          <w:rFonts w:hint="default" w:eastAsia="仿宋_GB2312"/>
          <w:sz w:val="44"/>
          <w:szCs w:val="44"/>
        </w:rPr>
        <w:t xml:space="preserve"> </w:t>
      </w:r>
      <w:r>
        <w:rPr>
          <w:rFonts w:eastAsia="仿宋_GB2312"/>
          <w:sz w:val="44"/>
          <w:szCs w:val="44"/>
        </w:rPr>
        <w:t xml:space="preserve">  </w:t>
      </w:r>
      <w:r>
        <w:rPr>
          <w:rFonts w:hint="default" w:eastAsia="仿宋_GB2312"/>
          <w:sz w:val="32"/>
          <w:szCs w:val="32"/>
        </w:rPr>
        <w:t>临环评批复〔20</w:t>
      </w:r>
      <w:r>
        <w:rPr>
          <w:rFonts w:eastAsia="仿宋_GB2312"/>
          <w:sz w:val="32"/>
          <w:szCs w:val="32"/>
        </w:rPr>
        <w:t>2</w:t>
      </w:r>
      <w:r>
        <w:rPr>
          <w:rFonts w:hint="eastAsia" w:eastAsia="仿宋_GB2312"/>
          <w:sz w:val="32"/>
          <w:szCs w:val="32"/>
          <w:lang w:val="en-US" w:eastAsia="zh-CN"/>
        </w:rPr>
        <w:t>5</w:t>
      </w:r>
      <w:r>
        <w:rPr>
          <w:rFonts w:hint="default" w:eastAsia="仿宋_GB2312"/>
          <w:sz w:val="32"/>
          <w:szCs w:val="32"/>
        </w:rPr>
        <w:t>〕</w:t>
      </w:r>
      <w:r>
        <w:rPr>
          <w:rFonts w:hint="eastAsia" w:eastAsia="仿宋_GB2312"/>
          <w:sz w:val="32"/>
          <w:szCs w:val="32"/>
          <w:lang w:val="en-US" w:eastAsia="zh-CN"/>
        </w:rPr>
        <w:t>18</w:t>
      </w:r>
      <w:r>
        <w:rPr>
          <w:rFonts w:hint="default" w:eastAsia="仿宋_GB2312"/>
          <w:sz w:val="32"/>
          <w:szCs w:val="32"/>
        </w:rPr>
        <w:t>号</w:t>
      </w:r>
    </w:p>
    <w:p w14:paraId="160ACA95">
      <w:pPr>
        <w:spacing w:line="276" w:lineRule="auto"/>
        <w:jc w:val="center"/>
        <w:rPr>
          <w:rFonts w:hint="default" w:eastAsia="仿宋_GB2312"/>
          <w:szCs w:val="21"/>
        </w:rPr>
      </w:pPr>
    </w:p>
    <w:p w14:paraId="5B3B8783">
      <w:pPr>
        <w:spacing w:line="276" w:lineRule="auto"/>
        <w:jc w:val="center"/>
        <w:rPr>
          <w:rFonts w:hint="default" w:eastAsia="仿宋_GB2312"/>
          <w:szCs w:val="21"/>
        </w:rPr>
      </w:pPr>
    </w:p>
    <w:p w14:paraId="4D0F39BB">
      <w:pPr>
        <w:spacing w:line="240" w:lineRule="atLeast"/>
        <w:jc w:val="center"/>
        <w:rPr>
          <w:rFonts w:hint="default" w:eastAsia="微软简标宋"/>
          <w:sz w:val="44"/>
          <w:szCs w:val="44"/>
        </w:rPr>
      </w:pPr>
      <w:r>
        <w:rPr>
          <w:rFonts w:hint="default" w:eastAsia="微软简标宋"/>
          <w:sz w:val="44"/>
          <w:szCs w:val="44"/>
        </w:rPr>
        <w:t>西安市生态环境局临潼分局</w:t>
      </w:r>
    </w:p>
    <w:p w14:paraId="74A803C1">
      <w:pPr>
        <w:widowControl/>
        <w:jc w:val="center"/>
        <w:rPr>
          <w:rFonts w:hint="default" w:eastAsia="微软简标宋"/>
          <w:spacing w:val="-17"/>
          <w:w w:val="98"/>
          <w:sz w:val="44"/>
          <w:szCs w:val="44"/>
        </w:rPr>
      </w:pPr>
      <w:r>
        <w:rPr>
          <w:rFonts w:hint="default" w:eastAsia="微软简标宋"/>
          <w:spacing w:val="-17"/>
          <w:w w:val="98"/>
          <w:sz w:val="44"/>
          <w:szCs w:val="44"/>
        </w:rPr>
        <w:t>关于陕西秦合丰能环保科技有限公司年拆解3万辆报废机动车回收拆解项目环境影响报告表的批复</w:t>
      </w:r>
    </w:p>
    <w:p w14:paraId="44809174">
      <w:pPr>
        <w:widowControl/>
        <w:snapToGrid w:val="0"/>
        <w:spacing w:before="120" w:line="276" w:lineRule="auto"/>
        <w:jc w:val="center"/>
        <w:rPr>
          <w:rFonts w:hint="default"/>
          <w:sz w:val="32"/>
          <w:szCs w:val="32"/>
        </w:rPr>
      </w:pPr>
    </w:p>
    <w:p w14:paraId="2710F0BF">
      <w:pPr>
        <w:widowControl/>
        <w:spacing w:line="560" w:lineRule="exact"/>
        <w:rPr>
          <w:rFonts w:hint="default" w:eastAsia="仿宋_GB2312"/>
          <w:bCs/>
          <w:sz w:val="32"/>
          <w:szCs w:val="32"/>
        </w:rPr>
      </w:pPr>
      <w:r>
        <w:rPr>
          <w:rFonts w:hint="default" w:eastAsia="仿宋_GB2312"/>
          <w:bCs/>
          <w:sz w:val="32"/>
          <w:szCs w:val="32"/>
        </w:rPr>
        <w:t>陕西秦合丰能环保科技有限公司：</w:t>
      </w:r>
    </w:p>
    <w:p w14:paraId="62F1B5FB">
      <w:pPr>
        <w:widowControl/>
        <w:spacing w:line="560" w:lineRule="exact"/>
        <w:ind w:firstLine="640" w:firstLineChars="200"/>
        <w:rPr>
          <w:rFonts w:hint="default" w:eastAsia="仿宋_GB2312"/>
          <w:bCs/>
          <w:sz w:val="32"/>
          <w:szCs w:val="32"/>
        </w:rPr>
      </w:pPr>
      <w:r>
        <w:rPr>
          <w:rFonts w:hint="default" w:eastAsia="仿宋_GB2312"/>
          <w:bCs/>
          <w:sz w:val="32"/>
          <w:szCs w:val="32"/>
        </w:rPr>
        <w:t>你</w:t>
      </w:r>
      <w:r>
        <w:rPr>
          <w:rFonts w:hint="eastAsia" w:eastAsia="仿宋_GB2312"/>
          <w:bCs/>
          <w:sz w:val="32"/>
          <w:szCs w:val="32"/>
          <w:lang w:val="en-US" w:eastAsia="zh-CN"/>
        </w:rPr>
        <w:t>公司</w:t>
      </w:r>
      <w:r>
        <w:rPr>
          <w:rFonts w:hint="default" w:eastAsia="仿宋_GB2312"/>
          <w:bCs/>
          <w:sz w:val="32"/>
          <w:szCs w:val="32"/>
        </w:rPr>
        <w:t>《陕西秦合丰能环保科技有限公司年拆解3万辆报废机动车回收拆解项目环境影响报告表》（以下简称《报告表》）收悉，结合</w:t>
      </w:r>
      <w:r>
        <w:rPr>
          <w:rFonts w:hint="eastAsia" w:eastAsia="仿宋_GB2312"/>
          <w:bCs/>
          <w:sz w:val="32"/>
          <w:szCs w:val="32"/>
          <w:lang w:val="en-US" w:eastAsia="zh-CN"/>
        </w:rPr>
        <w:t>专家</w:t>
      </w:r>
      <w:r>
        <w:rPr>
          <w:rFonts w:hint="default" w:eastAsia="仿宋_GB2312"/>
          <w:bCs/>
          <w:sz w:val="32"/>
          <w:szCs w:val="32"/>
        </w:rPr>
        <w:t>对《报告表》的评估意见</w:t>
      </w:r>
      <w:r>
        <w:rPr>
          <w:rFonts w:eastAsia="仿宋_GB2312"/>
          <w:bCs/>
          <w:sz w:val="32"/>
          <w:szCs w:val="32"/>
        </w:rPr>
        <w:t>，</w:t>
      </w:r>
      <w:r>
        <w:rPr>
          <w:rFonts w:hint="default" w:eastAsia="仿宋_GB2312"/>
          <w:bCs/>
          <w:sz w:val="32"/>
          <w:szCs w:val="32"/>
        </w:rPr>
        <w:t>经我局建设项目环评审查委员会审查后，批复如下：</w:t>
      </w:r>
      <w:r>
        <w:rPr>
          <w:rFonts w:eastAsia="仿宋_GB2312"/>
          <w:bCs/>
          <w:sz w:val="32"/>
          <w:szCs w:val="32"/>
        </w:rPr>
        <w:t xml:space="preserve"> </w:t>
      </w:r>
    </w:p>
    <w:p w14:paraId="487C053E">
      <w:pPr>
        <w:widowControl/>
        <w:spacing w:line="560" w:lineRule="exact"/>
        <w:ind w:firstLine="640" w:firstLineChars="200"/>
        <w:rPr>
          <w:rFonts w:hint="default" w:eastAsia="仿宋_GB2312"/>
          <w:bCs/>
          <w:sz w:val="32"/>
          <w:szCs w:val="32"/>
        </w:rPr>
      </w:pPr>
      <w:r>
        <w:rPr>
          <w:rFonts w:hint="default" w:eastAsia="仿宋_GB2312"/>
          <w:bCs/>
          <w:sz w:val="32"/>
          <w:szCs w:val="32"/>
        </w:rPr>
        <w:t>一、项目概况：</w:t>
      </w:r>
      <w:r>
        <w:rPr>
          <w:rFonts w:hint="default" w:eastAsia="仿宋_GB2312"/>
          <w:bCs/>
          <w:sz w:val="32"/>
          <w:szCs w:val="32"/>
          <w:lang w:val="en-US" w:eastAsia="zh-CN"/>
        </w:rPr>
        <w:t>企业</w:t>
      </w:r>
      <w:r>
        <w:rPr>
          <w:rFonts w:hint="eastAsia" w:eastAsia="仿宋_GB2312"/>
          <w:bCs/>
          <w:sz w:val="32"/>
          <w:szCs w:val="32"/>
          <w:lang w:val="en-US" w:eastAsia="zh-CN"/>
        </w:rPr>
        <w:t>位于西安市临潼区代王办北郭村中北组原西砖厂，</w:t>
      </w:r>
      <w:r>
        <w:rPr>
          <w:rFonts w:hint="default" w:eastAsia="仿宋_GB2312"/>
          <w:bCs/>
          <w:sz w:val="32"/>
          <w:szCs w:val="32"/>
          <w:lang w:val="en-US" w:eastAsia="zh-CN"/>
        </w:rPr>
        <w:t>最终占地30.25亩（约为20166.65m2），包含大型机动车拆解车间、小型机动车拆解车间、新能源机动车拆解车间，物料存储区（包含新能源蓄电池和动力蓄电池分开存储的区域），办公区，未拆解机动车停放区等。年设计拆解废机动车30000辆，其中年拆解小车22000辆（含3000辆新能源小车）；年拆解大车8000辆（含1000辆新能源大车）。</w:t>
      </w:r>
      <w:r>
        <w:rPr>
          <w:rFonts w:hint="default" w:eastAsia="仿宋_GB2312"/>
          <w:bCs/>
          <w:sz w:val="32"/>
          <w:szCs w:val="32"/>
        </w:rPr>
        <w:t>项目总投资</w:t>
      </w:r>
      <w:r>
        <w:rPr>
          <w:rFonts w:hint="eastAsia" w:eastAsia="仿宋_GB2312"/>
          <w:bCs/>
          <w:sz w:val="32"/>
          <w:szCs w:val="32"/>
          <w:lang w:val="en-US" w:eastAsia="zh-CN"/>
        </w:rPr>
        <w:t>2000</w:t>
      </w:r>
      <w:r>
        <w:rPr>
          <w:rFonts w:hint="default" w:eastAsia="仿宋_GB2312"/>
          <w:bCs/>
          <w:sz w:val="32"/>
          <w:szCs w:val="32"/>
        </w:rPr>
        <w:t>万元，其中环保投资</w:t>
      </w:r>
      <w:r>
        <w:rPr>
          <w:rFonts w:hint="eastAsia" w:eastAsia="仿宋_GB2312"/>
          <w:bCs/>
          <w:sz w:val="32"/>
          <w:szCs w:val="32"/>
          <w:lang w:val="en-US" w:eastAsia="zh-CN"/>
        </w:rPr>
        <w:t>49.5</w:t>
      </w:r>
      <w:r>
        <w:rPr>
          <w:rFonts w:hint="default" w:eastAsia="仿宋_GB2312"/>
          <w:bCs/>
          <w:sz w:val="32"/>
          <w:szCs w:val="32"/>
        </w:rPr>
        <w:t>万元。</w:t>
      </w:r>
    </w:p>
    <w:p w14:paraId="289B71D8">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二、经审查，项目在采取《报告表》所列的各项污染防治措施后，对环境的不利影响能够得到有效缓解和控制。</w:t>
      </w:r>
      <w:r>
        <w:rPr>
          <w:rFonts w:eastAsia="仿宋_GB2312"/>
          <w:bCs/>
          <w:sz w:val="32"/>
          <w:szCs w:val="32"/>
        </w:rPr>
        <w:t>我局同意该项目的环境影响评价总体结论和各项环境保护措施。</w:t>
      </w:r>
    </w:p>
    <w:p w14:paraId="1A3FC7DF">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三、项目运行中应重点做好以下工作：</w:t>
      </w:r>
    </w:p>
    <w:p w14:paraId="780E7143">
      <w:pPr>
        <w:spacing w:line="560" w:lineRule="exact"/>
        <w:ind w:firstLine="640" w:firstLineChars="200"/>
        <w:rPr>
          <w:rFonts w:hint="eastAsia" w:eastAsia="仿宋_GB2312"/>
          <w:bCs/>
          <w:sz w:val="32"/>
          <w:szCs w:val="32"/>
          <w:lang w:eastAsia="zh-CN"/>
        </w:rPr>
      </w:pPr>
      <w:r>
        <w:rPr>
          <w:rFonts w:hint="default" w:eastAsia="仿宋_GB2312"/>
          <w:bCs/>
          <w:sz w:val="32"/>
          <w:szCs w:val="32"/>
        </w:rPr>
        <w:t>（一）严格落实大气污染防治措施。</w:t>
      </w:r>
      <w:r>
        <w:rPr>
          <w:rFonts w:hint="default" w:eastAsia="仿宋_GB2312"/>
          <w:bCs/>
          <w:sz w:val="32"/>
          <w:szCs w:val="32"/>
          <w:lang w:val="en-US" w:eastAsia="zh-CN"/>
        </w:rPr>
        <w:t>小车拆解粉尘通过集气罩</w:t>
      </w:r>
      <w:r>
        <w:rPr>
          <w:rFonts w:hint="default" w:eastAsia="仿宋_GB2312"/>
          <w:bCs/>
          <w:sz w:val="32"/>
          <w:szCs w:val="32"/>
        </w:rPr>
        <w:t>收集</w:t>
      </w:r>
      <w:r>
        <w:rPr>
          <w:rFonts w:hint="default" w:eastAsia="仿宋_GB2312"/>
          <w:bCs/>
          <w:sz w:val="32"/>
          <w:szCs w:val="32"/>
          <w:lang w:eastAsia="zh-CN"/>
        </w:rPr>
        <w:t>，</w:t>
      </w:r>
      <w:r>
        <w:rPr>
          <w:rFonts w:hint="default" w:eastAsia="仿宋_GB2312"/>
          <w:bCs/>
          <w:sz w:val="32"/>
          <w:szCs w:val="32"/>
          <w:lang w:val="en-US" w:eastAsia="zh-CN"/>
        </w:rPr>
        <w:t>经</w:t>
      </w:r>
      <w:r>
        <w:rPr>
          <w:rFonts w:hint="default" w:eastAsia="仿宋_GB2312"/>
          <w:bCs/>
          <w:sz w:val="32"/>
          <w:szCs w:val="32"/>
        </w:rPr>
        <w:t>布袋除尘器</w:t>
      </w:r>
      <w:r>
        <w:rPr>
          <w:rFonts w:hint="default" w:eastAsia="仿宋_GB2312"/>
          <w:bCs/>
          <w:sz w:val="32"/>
          <w:szCs w:val="32"/>
          <w:lang w:val="en-US" w:eastAsia="zh-CN"/>
        </w:rPr>
        <w:t>处理后由15m高排气筒排放（DA001）；大车拆解粉尘和切割粉尘通过集气罩收集，经布袋除尘器处理后由15m高排气筒排放（DA002）；大、小车抽油产生的非甲烷总烃通过集气罩</w:t>
      </w:r>
      <w:r>
        <w:rPr>
          <w:rFonts w:hint="default" w:eastAsia="仿宋_GB2312"/>
          <w:bCs/>
          <w:sz w:val="32"/>
          <w:szCs w:val="32"/>
        </w:rPr>
        <w:t>收集</w:t>
      </w:r>
      <w:r>
        <w:rPr>
          <w:rFonts w:hint="default" w:eastAsia="仿宋_GB2312"/>
          <w:bCs/>
          <w:sz w:val="32"/>
          <w:szCs w:val="32"/>
          <w:lang w:val="en-US" w:eastAsia="zh-CN"/>
        </w:rPr>
        <w:t>，</w:t>
      </w:r>
      <w:r>
        <w:rPr>
          <w:rFonts w:hint="eastAsia" w:eastAsia="仿宋_GB2312"/>
          <w:bCs/>
          <w:sz w:val="32"/>
          <w:szCs w:val="32"/>
          <w:lang w:val="en-US" w:eastAsia="zh-CN"/>
        </w:rPr>
        <w:t>包括</w:t>
      </w:r>
      <w:r>
        <w:rPr>
          <w:rFonts w:hint="default" w:eastAsia="仿宋_GB2312"/>
          <w:bCs/>
          <w:sz w:val="32"/>
          <w:szCs w:val="32"/>
          <w:lang w:val="en-US" w:eastAsia="zh-CN"/>
        </w:rPr>
        <w:t>危废贮存库</w:t>
      </w:r>
      <w:r>
        <w:rPr>
          <w:rFonts w:hint="eastAsia" w:eastAsia="仿宋_GB2312"/>
          <w:bCs/>
          <w:sz w:val="32"/>
          <w:szCs w:val="32"/>
          <w:lang w:val="en-US" w:eastAsia="zh-CN"/>
        </w:rPr>
        <w:t>产生的有机废气</w:t>
      </w:r>
      <w:r>
        <w:rPr>
          <w:rFonts w:hint="default" w:eastAsia="仿宋_GB2312"/>
          <w:bCs/>
          <w:sz w:val="32"/>
          <w:szCs w:val="32"/>
          <w:lang w:val="en-US" w:eastAsia="zh-CN"/>
        </w:rPr>
        <w:t>经活性炭吸附处理后由15m高排气筒排放（DA003）</w:t>
      </w:r>
      <w:r>
        <w:rPr>
          <w:rFonts w:hint="eastAsia" w:eastAsia="仿宋_GB2312"/>
          <w:bCs/>
          <w:sz w:val="32"/>
          <w:szCs w:val="32"/>
          <w:lang w:eastAsia="zh-CN"/>
        </w:rPr>
        <w:t>。</w:t>
      </w:r>
    </w:p>
    <w:p w14:paraId="6C3802D7">
      <w:pPr>
        <w:spacing w:line="560" w:lineRule="exact"/>
        <w:ind w:firstLine="640" w:firstLineChars="200"/>
        <w:rPr>
          <w:rFonts w:hint="default" w:eastAsia="仿宋_GB2312"/>
          <w:bCs/>
          <w:sz w:val="32"/>
          <w:szCs w:val="32"/>
          <w:lang w:val="en-US" w:eastAsia="zh-CN"/>
        </w:rPr>
      </w:pPr>
      <w:r>
        <w:rPr>
          <w:rFonts w:hint="default" w:eastAsia="仿宋_GB2312"/>
          <w:bCs/>
          <w:sz w:val="32"/>
          <w:szCs w:val="32"/>
        </w:rPr>
        <w:t>（二）严格落实水污染防治措施。</w:t>
      </w:r>
      <w:r>
        <w:rPr>
          <w:rFonts w:hint="default" w:eastAsia="仿宋_GB2312"/>
          <w:bCs/>
          <w:sz w:val="32"/>
          <w:szCs w:val="32"/>
          <w:lang w:val="en-US" w:eastAsia="zh-CN"/>
        </w:rPr>
        <w:t>初期雨水设置初期雨水池进行收集，部分用于厂区绿化，大部分拉运至城镇污水处理厂处理。食堂含油废水经油水分离器处理后</w:t>
      </w:r>
      <w:r>
        <w:rPr>
          <w:rFonts w:hint="eastAsia" w:eastAsia="仿宋_GB2312"/>
          <w:bCs/>
          <w:sz w:val="32"/>
          <w:szCs w:val="32"/>
          <w:lang w:val="en-US" w:eastAsia="zh-CN"/>
        </w:rPr>
        <w:t>会同</w:t>
      </w:r>
      <w:r>
        <w:rPr>
          <w:rFonts w:hint="default" w:eastAsia="仿宋_GB2312"/>
          <w:bCs/>
          <w:sz w:val="32"/>
          <w:szCs w:val="32"/>
        </w:rPr>
        <w:t>生活污水</w:t>
      </w:r>
      <w:r>
        <w:rPr>
          <w:rFonts w:hint="default" w:eastAsia="仿宋_GB2312"/>
          <w:bCs/>
          <w:sz w:val="32"/>
          <w:szCs w:val="32"/>
          <w:lang w:val="en-US" w:eastAsia="zh-CN"/>
        </w:rPr>
        <w:t>排入到化粪池</w:t>
      </w:r>
      <w:r>
        <w:rPr>
          <w:rFonts w:hint="eastAsia" w:eastAsia="仿宋_GB2312"/>
          <w:bCs/>
          <w:sz w:val="32"/>
          <w:szCs w:val="32"/>
          <w:lang w:val="en-US" w:eastAsia="zh-CN"/>
        </w:rPr>
        <w:t>，</w:t>
      </w:r>
      <w:r>
        <w:rPr>
          <w:rFonts w:hint="default" w:eastAsia="仿宋_GB2312"/>
          <w:bCs/>
          <w:sz w:val="32"/>
          <w:szCs w:val="32"/>
        </w:rPr>
        <w:t>定期清掏，用于农田施肥</w:t>
      </w:r>
      <w:r>
        <w:rPr>
          <w:rFonts w:hint="default" w:eastAsia="仿宋_GB2312"/>
          <w:bCs/>
          <w:sz w:val="32"/>
          <w:szCs w:val="32"/>
          <w:lang w:eastAsia="zh-CN"/>
        </w:rPr>
        <w:t>。</w:t>
      </w:r>
      <w:r>
        <w:rPr>
          <w:rFonts w:hint="default" w:eastAsia="仿宋_GB2312"/>
          <w:bCs/>
          <w:sz w:val="32"/>
          <w:szCs w:val="32"/>
          <w:lang w:val="en-US" w:eastAsia="zh-CN"/>
        </w:rPr>
        <w:t>回用件冲洗废水经一体化污水处理设施（隔油+沉淀）处理后循环使用，不外排</w:t>
      </w:r>
      <w:r>
        <w:rPr>
          <w:rFonts w:hint="eastAsia" w:eastAsia="仿宋_GB2312"/>
          <w:bCs/>
          <w:sz w:val="32"/>
          <w:szCs w:val="32"/>
          <w:lang w:val="en-US" w:eastAsia="zh-CN"/>
        </w:rPr>
        <w:t>。</w:t>
      </w:r>
    </w:p>
    <w:p w14:paraId="1E230259">
      <w:pPr>
        <w:tabs>
          <w:tab w:val="left" w:pos="5245"/>
        </w:tabs>
        <w:spacing w:line="560" w:lineRule="exact"/>
        <w:ind w:firstLine="640" w:firstLineChars="200"/>
        <w:rPr>
          <w:rFonts w:hint="default" w:eastAsia="仿宋_GB2312"/>
          <w:bCs/>
          <w:sz w:val="32"/>
          <w:szCs w:val="32"/>
        </w:rPr>
      </w:pPr>
      <w:r>
        <w:rPr>
          <w:rFonts w:hint="default" w:eastAsia="仿宋_GB2312"/>
          <w:bCs/>
          <w:sz w:val="32"/>
          <w:szCs w:val="32"/>
        </w:rPr>
        <w:t>（三）做好噪声</w:t>
      </w:r>
      <w:r>
        <w:rPr>
          <w:rFonts w:hint="eastAsia" w:eastAsia="仿宋_GB2312"/>
          <w:bCs/>
          <w:sz w:val="32"/>
          <w:szCs w:val="32"/>
          <w:lang w:val="en-US" w:eastAsia="zh-CN"/>
        </w:rPr>
        <w:t>污染防治</w:t>
      </w:r>
      <w:r>
        <w:rPr>
          <w:rFonts w:hint="default" w:eastAsia="仿宋_GB2312"/>
          <w:bCs/>
          <w:sz w:val="32"/>
          <w:szCs w:val="32"/>
        </w:rPr>
        <w:t>措施</w:t>
      </w:r>
      <w:r>
        <w:rPr>
          <w:rFonts w:hint="eastAsia" w:eastAsia="仿宋_GB2312"/>
          <w:sz w:val="32"/>
          <w:szCs w:val="32"/>
          <w:lang w:eastAsia="zh-CN"/>
        </w:rPr>
        <w:t>。</w:t>
      </w:r>
      <w:r>
        <w:rPr>
          <w:rFonts w:hint="eastAsia" w:eastAsia="仿宋_GB2312"/>
          <w:sz w:val="32"/>
          <w:szCs w:val="32"/>
          <w:lang w:val="en-US" w:eastAsia="zh-CN"/>
        </w:rPr>
        <w:t>采取</w:t>
      </w:r>
      <w:r>
        <w:rPr>
          <w:rFonts w:hint="eastAsia" w:eastAsia="仿宋_GB2312"/>
          <w:sz w:val="32"/>
          <w:szCs w:val="32"/>
          <w:lang w:eastAsia="zh-CN"/>
        </w:rPr>
        <w:t>选用低噪声设备、合理布局，</w:t>
      </w:r>
      <w:r>
        <w:rPr>
          <w:rFonts w:hint="eastAsia" w:eastAsia="仿宋_GB2312"/>
          <w:sz w:val="32"/>
          <w:szCs w:val="32"/>
          <w:lang w:val="en-US" w:eastAsia="zh-CN"/>
        </w:rPr>
        <w:t>经厂房隔声、基础减震</w:t>
      </w:r>
      <w:r>
        <w:rPr>
          <w:rFonts w:hint="eastAsia" w:eastAsia="仿宋_GB2312"/>
          <w:sz w:val="32"/>
          <w:szCs w:val="32"/>
          <w:lang w:eastAsia="zh-CN"/>
        </w:rPr>
        <w:t>等措施，确保工业场地厂界噪声达标</w:t>
      </w:r>
      <w:r>
        <w:rPr>
          <w:rFonts w:eastAsia="仿宋_GB2312"/>
          <w:bCs/>
          <w:sz w:val="32"/>
          <w:szCs w:val="32"/>
        </w:rPr>
        <w:t>。</w:t>
      </w:r>
    </w:p>
    <w:p w14:paraId="022A8553">
      <w:pPr>
        <w:widowControl/>
        <w:adjustRightInd w:val="0"/>
        <w:snapToGrid w:val="0"/>
        <w:spacing w:line="560" w:lineRule="exact"/>
        <w:ind w:firstLine="640" w:firstLineChars="200"/>
        <w:rPr>
          <w:rFonts w:eastAsia="仿宋_GB2312"/>
          <w:bCs/>
          <w:sz w:val="32"/>
          <w:szCs w:val="32"/>
        </w:rPr>
      </w:pPr>
      <w:r>
        <w:rPr>
          <w:rFonts w:hint="default" w:eastAsia="仿宋_GB2312"/>
          <w:bCs/>
          <w:sz w:val="32"/>
          <w:szCs w:val="32"/>
        </w:rPr>
        <w:t>（四）合规处置各类固体废物。危险废物分类收集贮存，委托有资质单位处置；一般工业固体废物合规处置；生活垃圾分类收集，由环卫部门</w:t>
      </w:r>
      <w:r>
        <w:rPr>
          <w:rFonts w:hint="eastAsia" w:eastAsia="仿宋_GB2312"/>
          <w:bCs/>
          <w:sz w:val="32"/>
          <w:szCs w:val="32"/>
          <w:lang w:val="en-US" w:eastAsia="zh-CN"/>
        </w:rPr>
        <w:t>统一</w:t>
      </w:r>
      <w:r>
        <w:rPr>
          <w:rFonts w:hint="default" w:eastAsia="仿宋_GB2312"/>
          <w:bCs/>
          <w:sz w:val="32"/>
          <w:szCs w:val="32"/>
        </w:rPr>
        <w:t>清运</w:t>
      </w:r>
      <w:r>
        <w:rPr>
          <w:rFonts w:hint="eastAsia" w:eastAsia="仿宋_GB2312"/>
          <w:bCs/>
          <w:sz w:val="32"/>
          <w:szCs w:val="32"/>
          <w:lang w:eastAsia="zh-CN"/>
        </w:rPr>
        <w:t>，</w:t>
      </w:r>
      <w:r>
        <w:rPr>
          <w:rFonts w:hint="eastAsia" w:eastAsia="仿宋_GB2312"/>
          <w:bCs/>
          <w:sz w:val="32"/>
          <w:szCs w:val="32"/>
          <w:lang w:val="en-US" w:eastAsia="zh-CN"/>
        </w:rPr>
        <w:t>废油脂收集暂存后交由有资质的单位回收处置</w:t>
      </w:r>
      <w:r>
        <w:rPr>
          <w:rFonts w:eastAsia="仿宋_GB2312"/>
          <w:bCs/>
          <w:sz w:val="32"/>
          <w:szCs w:val="32"/>
        </w:rPr>
        <w:t>。</w:t>
      </w:r>
    </w:p>
    <w:p w14:paraId="74F3A6EA">
      <w:pPr>
        <w:widowControl/>
        <w:adjustRightInd w:val="0"/>
        <w:snapToGrid w:val="0"/>
        <w:spacing w:line="560" w:lineRule="exact"/>
        <w:ind w:firstLine="640" w:firstLineChars="200"/>
        <w:rPr>
          <w:rFonts w:hint="eastAsia" w:eastAsia="仿宋_GB2312"/>
          <w:bCs/>
          <w:sz w:val="32"/>
          <w:szCs w:val="32"/>
        </w:rPr>
      </w:pPr>
      <w:r>
        <w:rPr>
          <w:rFonts w:hint="eastAsia" w:eastAsia="仿宋_GB2312"/>
          <w:bCs/>
          <w:sz w:val="32"/>
          <w:szCs w:val="32"/>
        </w:rPr>
        <w:t>（五）增强环境风险防范意识。严格落实《报告表》提出的环境风险防范措施，按要求编制环境风险应急预案，报我局</w:t>
      </w:r>
    </w:p>
    <w:p w14:paraId="3D34F404">
      <w:pPr>
        <w:widowControl/>
        <w:adjustRightInd w:val="0"/>
        <w:snapToGrid w:val="0"/>
        <w:spacing w:line="560" w:lineRule="exact"/>
        <w:rPr>
          <w:rFonts w:eastAsia="仿宋_GB2312"/>
          <w:bCs/>
          <w:sz w:val="32"/>
          <w:szCs w:val="32"/>
        </w:rPr>
      </w:pPr>
      <w:r>
        <w:rPr>
          <w:rFonts w:hint="eastAsia" w:eastAsia="仿宋_GB2312"/>
          <w:bCs/>
          <w:sz w:val="32"/>
          <w:szCs w:val="32"/>
        </w:rPr>
        <w:t>备案。</w:t>
      </w:r>
    </w:p>
    <w:p w14:paraId="09695684">
      <w:pPr>
        <w:pStyle w:val="5"/>
        <w:adjustRightInd w:val="0"/>
        <w:snapToGrid w:val="0"/>
        <w:spacing w:after="0" w:line="576" w:lineRule="exact"/>
        <w:ind w:firstLine="640" w:firstLineChars="200"/>
        <w:rPr>
          <w:rFonts w:hint="default" w:eastAsia="仿宋_GB2312"/>
          <w:bCs/>
          <w:sz w:val="32"/>
          <w:szCs w:val="32"/>
        </w:rPr>
      </w:pPr>
      <w:r>
        <w:rPr>
          <w:rFonts w:eastAsia="仿宋_GB2312"/>
          <w:bCs/>
          <w:sz w:val="32"/>
          <w:szCs w:val="32"/>
        </w:rPr>
        <w:t>四、</w:t>
      </w:r>
      <w:r>
        <w:rPr>
          <w:rFonts w:hint="default" w:eastAsia="仿宋_GB2312"/>
          <w:bCs/>
          <w:sz w:val="32"/>
          <w:szCs w:val="32"/>
        </w:rPr>
        <w:t>项目在建设过程中，你</w:t>
      </w:r>
      <w:r>
        <w:rPr>
          <w:rFonts w:hint="eastAsia" w:eastAsia="仿宋_GB2312"/>
          <w:bCs/>
          <w:sz w:val="32"/>
          <w:szCs w:val="32"/>
          <w:lang w:val="en-US" w:eastAsia="zh-CN"/>
        </w:rPr>
        <w:t>公司</w:t>
      </w:r>
      <w:r>
        <w:rPr>
          <w:rFonts w:hint="default" w:eastAsia="仿宋_GB2312"/>
          <w:bCs/>
          <w:sz w:val="32"/>
          <w:szCs w:val="32"/>
        </w:rPr>
        <w:t>应严格执行环保</w:t>
      </w:r>
      <w:r>
        <w:rPr>
          <w:rFonts w:eastAsia="仿宋_GB2312"/>
          <w:bCs/>
          <w:sz w:val="32"/>
          <w:szCs w:val="32"/>
        </w:rPr>
        <w:t>“</w:t>
      </w:r>
      <w:r>
        <w:rPr>
          <w:rFonts w:hint="default" w:eastAsia="仿宋_GB2312"/>
          <w:bCs/>
          <w:sz w:val="32"/>
          <w:szCs w:val="32"/>
        </w:rPr>
        <w:t>三同时</w:t>
      </w:r>
      <w:r>
        <w:rPr>
          <w:rFonts w:eastAsia="仿宋_GB2312"/>
          <w:bCs/>
          <w:sz w:val="32"/>
          <w:szCs w:val="32"/>
        </w:rPr>
        <w:t>”</w:t>
      </w:r>
      <w:r>
        <w:rPr>
          <w:rFonts w:hint="default" w:eastAsia="仿宋_GB2312"/>
          <w:bCs/>
          <w:sz w:val="32"/>
          <w:szCs w:val="32"/>
        </w:rPr>
        <w:t>制度。项目建成后应按要求和规定程序办理排污许可手续和开展竣工环境保护验收。</w:t>
      </w:r>
    </w:p>
    <w:p w14:paraId="2297BEEE">
      <w:pPr>
        <w:pStyle w:val="5"/>
        <w:adjustRightInd w:val="0"/>
        <w:snapToGrid w:val="0"/>
        <w:spacing w:after="0" w:line="576" w:lineRule="exact"/>
        <w:ind w:firstLine="640" w:firstLineChars="200"/>
        <w:rPr>
          <w:rFonts w:hint="default" w:eastAsia="仿宋_GB2312"/>
          <w:bCs/>
          <w:sz w:val="32"/>
          <w:szCs w:val="32"/>
        </w:rPr>
      </w:pPr>
      <w:bookmarkStart w:id="0" w:name="_GoBack"/>
      <w:bookmarkEnd w:id="0"/>
    </w:p>
    <w:p w14:paraId="7CA1F392">
      <w:pPr>
        <w:pStyle w:val="5"/>
        <w:adjustRightInd w:val="0"/>
        <w:snapToGrid w:val="0"/>
        <w:spacing w:after="0" w:line="576" w:lineRule="exact"/>
        <w:ind w:firstLine="640" w:firstLineChars="200"/>
        <w:rPr>
          <w:rFonts w:hint="default" w:eastAsia="仿宋_GB2312"/>
          <w:bCs/>
          <w:sz w:val="32"/>
          <w:szCs w:val="32"/>
        </w:rPr>
      </w:pPr>
    </w:p>
    <w:p w14:paraId="35B4C34D">
      <w:pPr>
        <w:spacing w:line="576" w:lineRule="exact"/>
        <w:ind w:firstLine="4160" w:firstLineChars="1300"/>
        <w:jc w:val="left"/>
        <w:rPr>
          <w:rFonts w:hint="default" w:eastAsia="仿宋_GB2312"/>
          <w:bCs/>
          <w:sz w:val="32"/>
          <w:szCs w:val="32"/>
        </w:rPr>
      </w:pPr>
      <w:r>
        <w:rPr>
          <w:rFonts w:hint="default" w:eastAsia="仿宋_GB2312"/>
          <w:bCs/>
          <w:sz w:val="32"/>
          <w:szCs w:val="32"/>
        </w:rPr>
        <w:t>西安市生态环境局临潼分局</w:t>
      </w:r>
    </w:p>
    <w:tbl>
      <w:tblPr>
        <w:tblStyle w:val="6"/>
        <w:tblpPr w:leftFromText="180" w:rightFromText="180" w:vertAnchor="text" w:horzAnchor="page" w:tblpX="1661" w:tblpY="86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59D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0" w:type="dxa"/>
            <w:tcBorders>
              <w:left w:val="nil"/>
              <w:right w:val="nil"/>
            </w:tcBorders>
          </w:tcPr>
          <w:p w14:paraId="11212BBB">
            <w:pPr>
              <w:autoSpaceDN w:val="0"/>
              <w:spacing w:line="520" w:lineRule="exact"/>
              <w:rPr>
                <w:rFonts w:hint="default" w:eastAsia="仿宋"/>
                <w:bCs/>
                <w:sz w:val="32"/>
                <w:szCs w:val="32"/>
                <w:lang w:val="en-US" w:eastAsia="zh-CN"/>
              </w:rPr>
            </w:pPr>
            <w:r>
              <w:rPr>
                <w:rFonts w:hint="default" w:hAnsi="仿宋" w:eastAsia="仿宋"/>
                <w:bCs/>
                <w:sz w:val="32"/>
                <w:szCs w:val="32"/>
              </w:rPr>
              <w:t>抄送：</w:t>
            </w:r>
            <w:r>
              <w:rPr>
                <w:rFonts w:hAnsi="仿宋" w:eastAsia="仿宋"/>
                <w:bCs/>
                <w:sz w:val="32"/>
                <w:szCs w:val="32"/>
              </w:rPr>
              <w:t>西安市生态环境保护综合执法支队临潼大队、陕西森璟环保科技有限公司</w:t>
            </w:r>
          </w:p>
        </w:tc>
      </w:tr>
    </w:tbl>
    <w:p w14:paraId="6BC3B9F3">
      <w:pPr>
        <w:spacing w:line="576" w:lineRule="exact"/>
        <w:ind w:firstLine="4960" w:firstLineChars="1550"/>
        <w:jc w:val="left"/>
        <w:rPr>
          <w:rFonts w:hint="default" w:eastAsia="仿宋_GB2312"/>
          <w:bCs/>
          <w:sz w:val="32"/>
          <w:szCs w:val="32"/>
        </w:rPr>
      </w:pPr>
      <w:r>
        <w:rPr>
          <w:rFonts w:hint="default" w:eastAsia="仿宋_GB2312"/>
          <w:bCs/>
          <w:sz w:val="32"/>
          <w:szCs w:val="32"/>
        </w:rPr>
        <w:t>20</w:t>
      </w:r>
      <w:r>
        <w:rPr>
          <w:rFonts w:eastAsia="仿宋_GB2312"/>
          <w:bCs/>
          <w:sz w:val="32"/>
          <w:szCs w:val="32"/>
        </w:rPr>
        <w:t>2</w:t>
      </w:r>
      <w:r>
        <w:rPr>
          <w:rFonts w:hint="eastAsia" w:eastAsia="仿宋_GB2312"/>
          <w:bCs/>
          <w:sz w:val="32"/>
          <w:szCs w:val="32"/>
          <w:lang w:val="en-US" w:eastAsia="zh-CN"/>
        </w:rPr>
        <w:t>5</w:t>
      </w:r>
      <w:r>
        <w:rPr>
          <w:rFonts w:hint="default" w:eastAsia="仿宋_GB2312"/>
          <w:bCs/>
          <w:sz w:val="32"/>
          <w:szCs w:val="32"/>
        </w:rPr>
        <w:t>年</w:t>
      </w:r>
      <w:r>
        <w:rPr>
          <w:rFonts w:hint="eastAsia" w:eastAsia="仿宋_GB2312"/>
          <w:bCs/>
          <w:sz w:val="32"/>
          <w:szCs w:val="32"/>
          <w:lang w:val="en-US" w:eastAsia="zh-CN"/>
        </w:rPr>
        <w:t>11</w:t>
      </w:r>
      <w:r>
        <w:rPr>
          <w:rFonts w:hint="default" w:eastAsia="仿宋_GB2312"/>
          <w:bCs/>
          <w:sz w:val="32"/>
          <w:szCs w:val="32"/>
        </w:rPr>
        <w:t>月</w:t>
      </w:r>
      <w:r>
        <w:rPr>
          <w:rFonts w:hint="eastAsia" w:eastAsia="仿宋_GB2312"/>
          <w:bCs/>
          <w:sz w:val="32"/>
          <w:szCs w:val="32"/>
          <w:lang w:val="en-US" w:eastAsia="zh-CN"/>
        </w:rPr>
        <w:t>25</w:t>
      </w:r>
      <w:r>
        <w:rPr>
          <w:rFonts w:hint="default" w:eastAsia="仿宋_GB2312"/>
          <w:bCs/>
          <w:sz w:val="32"/>
          <w:szCs w:val="32"/>
        </w:rPr>
        <w:t>日</w:t>
      </w:r>
    </w:p>
    <w:sectPr>
      <w:footerReference r:id="rId3" w:type="default"/>
      <w:pgSz w:w="11906" w:h="16838"/>
      <w:pgMar w:top="1417" w:right="1644" w:bottom="1440"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D9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9183C7">
                    <w:pPr>
                      <w:pStyle w:val="3"/>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rPr>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E1E07"/>
    <w:rsid w:val="01C1691A"/>
    <w:rsid w:val="0C49157E"/>
    <w:rsid w:val="0F58051A"/>
    <w:rsid w:val="142F698D"/>
    <w:rsid w:val="17171C09"/>
    <w:rsid w:val="1E33290E"/>
    <w:rsid w:val="21043D51"/>
    <w:rsid w:val="28851357"/>
    <w:rsid w:val="3408312A"/>
    <w:rsid w:val="511E1E07"/>
    <w:rsid w:val="58815B21"/>
    <w:rsid w:val="761F2D26"/>
    <w:rsid w:val="79DC4060"/>
    <w:rsid w:val="7B665D76"/>
    <w:rsid w:val="7D8E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0"/>
    <w:pPr>
      <w:spacing w:after="120"/>
      <w:ind w:firstLine="420" w:firstLineChars="100"/>
      <w:jc w:val="both"/>
    </w:pPr>
  </w:style>
  <w:style w:type="character" w:styleId="8">
    <w:name w:val="Emphasis"/>
    <w:basedOn w:val="7"/>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1054</Words>
  <Characters>1116</Characters>
  <Lines>0</Lines>
  <Paragraphs>0</Paragraphs>
  <TotalTime>23</TotalTime>
  <ScaleCrop>false</ScaleCrop>
  <LinksUpToDate>false</LinksUpToDate>
  <CharactersWithSpaces>1147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2025-05-15T02:09:00Z</dcterms:created>
  <dc:creator>离羽</dc:creator>
  <cp:lastModifiedBy>离羽</cp:lastModifiedBy>
  <cp:lastPrinted>2025-11-25T08:56:42Z</cp:lastPrinted>
  <dcterms:modified xsi:type="dcterms:W3CDTF">2025-11-25T08:56:47Z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E9A5F46524EA4DE2AB8D6FA8ABF50AA7_11</vt:lpwstr>
  </property>
  <property fmtid="{D5CDD505-2E9C-101B-9397-08002B2CF9AE}" pid="4" name="KSOTemplateDocerSaveRecord">
    <vt:lpwstr>eyJoZGlkIjoiYWU2NTY5MzQ5NzBlMGY0YWRjYTAzNmQyMjFjOTRmNmEiLCJ1c2VySWQiOiI5NjUwNDA1NTkifQ==</vt:lpwstr>
  </property>
</Properties>
</file>