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5</w:t>
      </w:r>
      <w:r>
        <w:rPr>
          <w:rFonts w:hint="default" w:eastAsia="仿宋_GB2312"/>
          <w:sz w:val="32"/>
          <w:szCs w:val="32"/>
        </w:rPr>
        <w:t>〕</w:t>
      </w:r>
      <w:r>
        <w:rPr>
          <w:rFonts w:hint="eastAsia" w:eastAsia="仿宋_GB2312"/>
          <w:sz w:val="32"/>
          <w:szCs w:val="32"/>
          <w:lang w:val="en-US" w:eastAsia="zh-CN"/>
        </w:rPr>
        <w:t>19</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bookmarkStart w:id="0" w:name="_GoBack"/>
      <w:r>
        <w:rPr>
          <w:rFonts w:hint="default" w:eastAsia="微软简标宋"/>
          <w:spacing w:val="-15"/>
          <w:sz w:val="44"/>
          <w:szCs w:val="44"/>
        </w:rPr>
        <w:t>关于临潼区建筑垃圾资源化综合利用项目环境影响报告表的批复</w:t>
      </w:r>
    </w:p>
    <w:bookmarkEnd w:id="0"/>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陕西城发绿能环保科技有限公司：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《临潼区建筑垃圾资源化综合利用项目环境影响报告表》（以下简称《报告表》）收悉，结合</w:t>
      </w:r>
      <w:r>
        <w:rPr>
          <w:rFonts w:hint="eastAsia" w:eastAsia="仿宋_GB2312"/>
          <w:bCs/>
          <w:sz w:val="32"/>
          <w:szCs w:val="32"/>
          <w:lang w:val="en-US" w:eastAsia="zh-CN"/>
        </w:rPr>
        <w:t>专家</w:t>
      </w:r>
      <w:r>
        <w:rPr>
          <w:rFonts w:hint="default" w:eastAsia="仿宋_GB2312"/>
          <w:bCs/>
          <w:sz w:val="32"/>
          <w:szCs w:val="32"/>
        </w:rPr>
        <w:t>对《报告表》的评估意见</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一、项目概况：项目</w:t>
      </w:r>
      <w:r>
        <w:rPr>
          <w:rFonts w:hint="eastAsia" w:eastAsia="仿宋_GB2312"/>
          <w:bCs/>
          <w:sz w:val="32"/>
          <w:szCs w:val="32"/>
          <w:lang w:val="en-US" w:eastAsia="zh-CN"/>
        </w:rPr>
        <w:t>位于</w:t>
      </w:r>
      <w:r>
        <w:rPr>
          <w:rFonts w:hint="default" w:eastAsia="仿宋_GB2312"/>
          <w:bCs/>
          <w:sz w:val="32"/>
          <w:szCs w:val="32"/>
          <w:lang w:val="en-US"/>
        </w:rPr>
        <w:t>西安市临潼区代王街办北郭村</w:t>
      </w:r>
      <w:r>
        <w:rPr>
          <w:rFonts w:hint="eastAsia" w:eastAsia="仿宋_GB2312"/>
          <w:bCs/>
          <w:sz w:val="32"/>
          <w:szCs w:val="32"/>
          <w:lang w:val="en-US" w:eastAsia="zh-CN"/>
        </w:rPr>
        <w:t>，项目保留现有生产车间厂房及仿古砖瓦生产区，免烧砖生产车间厂房作为本项目建筑垃圾来料堆场，建筑垃圾预处理车间保留其原有使用功能，仿古砖瓦区作为后期其他产业预留地，暂不拆除；拆除建筑垃圾破碎生产线和再生免烧砖生产线，新建2条生产线，分别为年处理能力为1条80万吨/年的建筑垃圾预处理生产线及1条3000万块/年再生免烧砖生产线，配套建设再生砖资源化利用车间、洗车台等；由于原水泥稳定碎石生产线还未建设，因此本次不对该生产线进行改造。</w:t>
      </w:r>
      <w:r>
        <w:rPr>
          <w:rFonts w:hint="default" w:eastAsia="仿宋_GB2312"/>
          <w:bCs/>
          <w:sz w:val="32"/>
          <w:szCs w:val="32"/>
        </w:rPr>
        <w:t>项目总投资</w:t>
      </w:r>
      <w:r>
        <w:rPr>
          <w:rFonts w:hint="default" w:eastAsia="仿宋_GB2312"/>
          <w:bCs/>
          <w:sz w:val="32"/>
          <w:szCs w:val="32"/>
          <w:lang w:val="en-US" w:eastAsia="zh-CN"/>
        </w:rPr>
        <w:t>50</w:t>
      </w:r>
      <w:r>
        <w:rPr>
          <w:rFonts w:hint="eastAsia" w:eastAsia="仿宋_GB2312"/>
          <w:bCs/>
          <w:sz w:val="32"/>
          <w:szCs w:val="32"/>
          <w:lang w:val="en-US" w:eastAsia="zh-CN"/>
        </w:rPr>
        <w:t>00</w:t>
      </w:r>
      <w:r>
        <w:rPr>
          <w:rFonts w:hint="default" w:eastAsia="仿宋_GB2312"/>
          <w:bCs/>
          <w:sz w:val="32"/>
          <w:szCs w:val="32"/>
        </w:rPr>
        <w:t>万元，其中环保投资</w:t>
      </w:r>
      <w:r>
        <w:rPr>
          <w:rFonts w:hint="default" w:eastAsia="仿宋_GB2312"/>
          <w:bCs/>
          <w:sz w:val="32"/>
          <w:szCs w:val="32"/>
          <w:lang w:val="en-US" w:eastAsia="zh-CN"/>
        </w:rPr>
        <w:t>1</w:t>
      </w:r>
      <w:r>
        <w:rPr>
          <w:rFonts w:hint="eastAsia" w:eastAsia="仿宋_GB2312"/>
          <w:bCs/>
          <w:sz w:val="32"/>
          <w:szCs w:val="32"/>
          <w:lang w:val="en-US" w:eastAsia="zh-CN"/>
        </w:rPr>
        <w:t>24</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（一）严格落实大气污染防治措施。建筑垃圾预处理生产线给料、筛分、风选、破碎粉尘</w:t>
      </w:r>
      <w:r>
        <w:rPr>
          <w:rFonts w:hint="default" w:eastAsia="仿宋_GB2312"/>
          <w:bCs/>
          <w:sz w:val="32"/>
          <w:szCs w:val="32"/>
          <w:lang w:val="en-US" w:eastAsia="zh-CN"/>
        </w:rPr>
        <w:t>经喷淋抑尘装置</w:t>
      </w:r>
      <w:r>
        <w:rPr>
          <w:rFonts w:hint="eastAsia" w:eastAsia="仿宋_GB2312"/>
          <w:bCs/>
          <w:sz w:val="32"/>
          <w:szCs w:val="32"/>
          <w:lang w:val="en-US" w:eastAsia="zh-CN"/>
        </w:rPr>
        <w:t>+</w:t>
      </w:r>
      <w:r>
        <w:rPr>
          <w:rFonts w:hint="default" w:eastAsia="仿宋_GB2312"/>
          <w:bCs/>
          <w:sz w:val="32"/>
          <w:szCs w:val="32"/>
          <w:lang w:val="en-US" w:eastAsia="zh-CN"/>
        </w:rPr>
        <w:t>集气罩+布袋除尘器处理，后通过25m排气筒</w:t>
      </w:r>
      <w:r>
        <w:rPr>
          <w:rFonts w:hint="eastAsia" w:eastAsia="仿宋_GB2312"/>
          <w:bCs/>
          <w:sz w:val="32"/>
          <w:szCs w:val="32"/>
          <w:lang w:val="en-US" w:eastAsia="zh-CN"/>
        </w:rPr>
        <w:t>（</w:t>
      </w:r>
      <w:r>
        <w:rPr>
          <w:rFonts w:hint="default" w:eastAsia="仿宋_GB2312"/>
          <w:bCs/>
          <w:sz w:val="32"/>
          <w:szCs w:val="32"/>
          <w:lang w:val="en-US" w:eastAsia="zh-CN"/>
        </w:rPr>
        <w:t>DA007</w:t>
      </w:r>
      <w:r>
        <w:rPr>
          <w:rFonts w:hint="eastAsia" w:eastAsia="仿宋_GB2312"/>
          <w:bCs/>
          <w:sz w:val="32"/>
          <w:szCs w:val="32"/>
          <w:lang w:val="en-US" w:eastAsia="zh-CN"/>
        </w:rPr>
        <w:t>）</w:t>
      </w:r>
      <w:r>
        <w:rPr>
          <w:rFonts w:hint="default" w:eastAsia="仿宋_GB2312"/>
          <w:bCs/>
          <w:sz w:val="32"/>
          <w:szCs w:val="32"/>
          <w:lang w:val="en-US" w:eastAsia="zh-CN"/>
        </w:rPr>
        <w:t>排放；再生免烧砖生产线配料仓上料、搅拌机混料粉尘经喷淋抑尘装置+集气罩+布袋除尘器处理，后通过25m排气筒</w:t>
      </w:r>
      <w:r>
        <w:rPr>
          <w:rFonts w:hint="eastAsia" w:eastAsia="仿宋_GB2312"/>
          <w:bCs/>
          <w:sz w:val="32"/>
          <w:szCs w:val="32"/>
          <w:lang w:val="en-US" w:eastAsia="zh-CN"/>
        </w:rPr>
        <w:t>（</w:t>
      </w:r>
      <w:r>
        <w:rPr>
          <w:rFonts w:hint="default" w:eastAsia="仿宋_GB2312"/>
          <w:bCs/>
          <w:sz w:val="32"/>
          <w:szCs w:val="32"/>
          <w:lang w:val="en-US" w:eastAsia="zh-CN"/>
        </w:rPr>
        <w:t>DA008</w:t>
      </w:r>
      <w:r>
        <w:rPr>
          <w:rFonts w:hint="eastAsia" w:eastAsia="仿宋_GB2312"/>
          <w:bCs/>
          <w:sz w:val="32"/>
          <w:szCs w:val="32"/>
          <w:lang w:val="en-US" w:eastAsia="zh-CN"/>
        </w:rPr>
        <w:t>）</w:t>
      </w:r>
      <w:r>
        <w:rPr>
          <w:rFonts w:hint="default" w:eastAsia="仿宋_GB2312"/>
          <w:bCs/>
          <w:sz w:val="32"/>
          <w:szCs w:val="32"/>
          <w:lang w:val="en-US" w:eastAsia="zh-CN"/>
        </w:rPr>
        <w:t>排放</w:t>
      </w:r>
      <w:r>
        <w:rPr>
          <w:rFonts w:hint="eastAsia" w:eastAsia="仿宋_GB2312"/>
          <w:bCs/>
          <w:sz w:val="32"/>
          <w:szCs w:val="32"/>
          <w:lang w:eastAsia="zh-CN"/>
        </w:rPr>
        <w:t>。建筑垃圾预处理生产线输送粉尘、再生免烧砖生产线输送粉尘</w:t>
      </w:r>
      <w:r>
        <w:rPr>
          <w:rFonts w:hint="eastAsia" w:ascii="Times New Roman" w:hAnsi="Times New Roman" w:eastAsia="仿宋_GB2312" w:cs="Times New Roman"/>
          <w:bCs/>
          <w:sz w:val="32"/>
          <w:szCs w:val="32"/>
          <w:lang w:eastAsia="zh-CN"/>
        </w:rPr>
        <w:t>经厂房内喷淋抑尘装置处理后无组织排放。再生免烧砖生产线水泥筒仓粉尘经脉冲布袋除尘器处理后无组织排放。物料堆存扬尘经</w:t>
      </w:r>
      <w:r>
        <w:rPr>
          <w:rFonts w:hint="eastAsia" w:ascii="Times New Roman" w:hAnsi="Times New Roman" w:eastAsia="仿宋_GB2312" w:cs="Times New Roman"/>
          <w:bCs/>
          <w:sz w:val="32"/>
          <w:szCs w:val="32"/>
          <w:lang w:val="en-US" w:eastAsia="zh-CN"/>
        </w:rPr>
        <w:t>高空喷淋</w:t>
      </w:r>
      <w:r>
        <w:rPr>
          <w:rFonts w:hint="eastAsia" w:ascii="Times New Roman" w:hAnsi="Times New Roman" w:eastAsia="仿宋_GB2312" w:cs="Times New Roman"/>
          <w:bCs/>
          <w:sz w:val="32"/>
          <w:szCs w:val="32"/>
          <w:lang w:eastAsia="zh-CN"/>
        </w:rPr>
        <w:t>处理后无组织排放。车辆运输扬尘经洒水降尘处理后无组织排放。</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（二）严格落实水污染防治措施。免烧砖养护废水、设备清洗废水经沉淀池处理后全部回用，不外排</w:t>
      </w:r>
      <w:r>
        <w:rPr>
          <w:rFonts w:hint="default" w:eastAsia="仿宋_GB2312"/>
          <w:bCs/>
          <w:sz w:val="32"/>
          <w:szCs w:val="32"/>
          <w:lang w:eastAsia="zh-CN"/>
        </w:rPr>
        <w:t>；</w:t>
      </w:r>
      <w:r>
        <w:rPr>
          <w:rFonts w:hint="default" w:eastAsia="仿宋_GB2312"/>
          <w:bCs/>
          <w:sz w:val="32"/>
          <w:szCs w:val="32"/>
        </w:rPr>
        <w:t>车辆冲洗废水经洗车沉淀池处理后全部回用，不外排</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。选用低噪设备，机械设备减振，厂房设置吸音棉等降噪措施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（五）增强环境风险防范意识。严格落实《报告表》提出的环境风险防范措施，按要求编制环境风险应急预案，报我局备案。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r>
        <w:rPr>
          <w:rFonts w:hint="eastAsia" w:eastAsia="仿宋_GB2312"/>
          <w:bCs/>
          <w:sz w:val="32"/>
          <w:szCs w:val="32"/>
          <w:lang w:eastAsia="zh-CN"/>
        </w:rPr>
        <w:t>，</w:t>
      </w:r>
      <w:r>
        <w:rPr>
          <w:rFonts w:hint="default" w:eastAsia="仿宋_GB2312"/>
          <w:bCs/>
          <w:sz w:val="32"/>
          <w:szCs w:val="32"/>
        </w:rPr>
        <w:t>并制定重点污染天气应急预案，按要求落实。</w:t>
      </w:r>
    </w:p>
    <w:p w14:paraId="1E4CFE44">
      <w:pPr>
        <w:spacing w:line="576" w:lineRule="exact"/>
        <w:ind w:firstLine="4160" w:firstLineChars="1300"/>
        <w:jc w:val="left"/>
        <w:rPr>
          <w:rFonts w:hint="default" w:eastAsia="仿宋_GB2312"/>
          <w:bCs/>
          <w:sz w:val="32"/>
          <w:szCs w:val="32"/>
        </w:rPr>
      </w:pPr>
    </w:p>
    <w:p w14:paraId="18BA3117">
      <w:pPr>
        <w:spacing w:line="576" w:lineRule="exact"/>
        <w:ind w:firstLine="4160" w:firstLineChars="1300"/>
        <w:jc w:val="left"/>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25" w:tblpY="69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E0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61B18473">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西安市生态环境保护综合执法支队临潼大队、陕西陆环环保工程有限公司</w:t>
            </w:r>
          </w:p>
        </w:tc>
      </w:tr>
    </w:tbl>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5</w:t>
      </w:r>
      <w:r>
        <w:rPr>
          <w:rFonts w:hint="default" w:eastAsia="仿宋_GB2312"/>
          <w:bCs/>
          <w:sz w:val="32"/>
          <w:szCs w:val="32"/>
        </w:rPr>
        <w:t>年</w:t>
      </w:r>
      <w:r>
        <w:rPr>
          <w:rFonts w:hint="eastAsia" w:eastAsia="仿宋_GB2312"/>
          <w:bCs/>
          <w:sz w:val="32"/>
          <w:szCs w:val="32"/>
          <w:lang w:val="en-US" w:eastAsia="zh-CN"/>
        </w:rPr>
        <w:t>11</w:t>
      </w:r>
      <w:r>
        <w:rPr>
          <w:rFonts w:hint="default" w:eastAsia="仿宋_GB2312"/>
          <w:bCs/>
          <w:sz w:val="32"/>
          <w:szCs w:val="32"/>
        </w:rPr>
        <w:t>月</w:t>
      </w:r>
      <w:r>
        <w:rPr>
          <w:rFonts w:hint="eastAsia" w:eastAsia="仿宋_GB2312"/>
          <w:bCs/>
          <w:sz w:val="32"/>
          <w:szCs w:val="32"/>
          <w:lang w:val="en-US" w:eastAsia="zh-CN"/>
        </w:rPr>
        <w:t>27</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8851357"/>
    <w:rsid w:val="4F185A57"/>
    <w:rsid w:val="511E1E07"/>
    <w:rsid w:val="58815B21"/>
    <w:rsid w:val="5A1D1E2D"/>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672</Words>
  <Characters>691</Characters>
  <Lines>0</Lines>
  <Paragraphs>0</Paragraphs>
  <TotalTime>1</TotalTime>
  <ScaleCrop>false</ScaleCrop>
  <LinksUpToDate>false</LinksUpToDate>
  <CharactersWithSpaces>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2025-05-28T01:13:00Z</cp:lastPrinted>
  <dcterms:modified xsi:type="dcterms:W3CDTF">2025-11-27T02:34:22Z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