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AF10">
      <w:pPr>
        <w:spacing w:line="276" w:lineRule="auto"/>
        <w:jc w:val="center"/>
        <w:rPr>
          <w:rFonts w:hint="default" w:eastAsia="仿宋_GB2312"/>
          <w:sz w:val="36"/>
          <w:szCs w:val="36"/>
        </w:rPr>
      </w:pPr>
    </w:p>
    <w:p w14:paraId="49104F11">
      <w:pPr>
        <w:spacing w:line="360" w:lineRule="auto"/>
        <w:jc w:val="center"/>
        <w:rPr>
          <w:rFonts w:hint="default" w:eastAsia="仿宋_GB2312"/>
          <w:sz w:val="36"/>
          <w:szCs w:val="36"/>
          <w:lang w:val="en-US" w:eastAsia="zh-CN"/>
        </w:rPr>
      </w:pPr>
      <w:r>
        <w:rPr>
          <w:rFonts w:hint="eastAsia" w:eastAsia="仿宋_GB2312"/>
          <w:sz w:val="36"/>
          <w:szCs w:val="36"/>
          <w:lang w:val="en-US" w:eastAsia="zh-CN"/>
        </w:rPr>
        <w:t xml:space="preserve">       </w:t>
      </w:r>
    </w:p>
    <w:p w14:paraId="10E58B39">
      <w:pPr>
        <w:snapToGrid w:val="0"/>
        <w:spacing w:afterLines="50" w:line="360" w:lineRule="auto"/>
        <w:jc w:val="center"/>
        <w:rPr>
          <w:rFonts w:hint="default" w:eastAsia="仿宋_GB2312"/>
          <w:sz w:val="44"/>
          <w:szCs w:val="44"/>
        </w:rPr>
      </w:pPr>
    </w:p>
    <w:p w14:paraId="61AB49A6">
      <w:pPr>
        <w:snapToGrid w:val="0"/>
        <w:spacing w:afterLines="50" w:line="300" w:lineRule="auto"/>
        <w:jc w:val="center"/>
        <w:rPr>
          <w:rFonts w:hint="default" w:eastAsia="仿宋_GB2312"/>
          <w:sz w:val="28"/>
          <w:szCs w:val="28"/>
        </w:rPr>
      </w:pPr>
    </w:p>
    <w:p w14:paraId="6BA38915">
      <w:pPr>
        <w:snapToGrid w:val="0"/>
        <w:spacing w:line="240" w:lineRule="atLeast"/>
        <w:jc w:val="center"/>
        <w:rPr>
          <w:rFonts w:hint="default" w:eastAsia="仿宋_GB2312"/>
          <w:szCs w:val="21"/>
        </w:rPr>
      </w:pPr>
      <w:r>
        <w:rPr>
          <w:rFonts w:eastAsia="仿宋_GB2312"/>
          <w:sz w:val="44"/>
          <w:szCs w:val="44"/>
        </w:rPr>
        <w:t xml:space="preserve">                    </w:t>
      </w:r>
      <w:r>
        <w:rPr>
          <w:rFonts w:hint="default" w:eastAsia="仿宋_GB2312"/>
          <w:sz w:val="44"/>
          <w:szCs w:val="44"/>
        </w:rPr>
        <w:t xml:space="preserve"> </w:t>
      </w:r>
      <w:r>
        <w:rPr>
          <w:rFonts w:eastAsia="仿宋_GB2312"/>
          <w:sz w:val="44"/>
          <w:szCs w:val="44"/>
        </w:rPr>
        <w:t xml:space="preserve">  </w:t>
      </w:r>
      <w:r>
        <w:rPr>
          <w:rFonts w:hint="default" w:eastAsia="仿宋_GB2312"/>
          <w:sz w:val="32"/>
          <w:szCs w:val="32"/>
        </w:rPr>
        <w:t>临环评批复〔20</w:t>
      </w:r>
      <w:r>
        <w:rPr>
          <w:rFonts w:eastAsia="仿宋_GB2312"/>
          <w:sz w:val="32"/>
          <w:szCs w:val="32"/>
        </w:rPr>
        <w:t>2</w:t>
      </w:r>
      <w:r>
        <w:rPr>
          <w:rFonts w:hint="eastAsia" w:eastAsia="仿宋_GB2312"/>
          <w:sz w:val="32"/>
          <w:szCs w:val="32"/>
          <w:lang w:val="en-US" w:eastAsia="zh-CN"/>
        </w:rPr>
        <w:t>5</w:t>
      </w:r>
      <w:r>
        <w:rPr>
          <w:rFonts w:hint="default" w:eastAsia="仿宋_GB2312"/>
          <w:sz w:val="32"/>
          <w:szCs w:val="32"/>
        </w:rPr>
        <w:t>〕</w:t>
      </w:r>
      <w:r>
        <w:rPr>
          <w:rFonts w:hint="eastAsia" w:eastAsia="仿宋_GB2312"/>
          <w:sz w:val="32"/>
          <w:szCs w:val="32"/>
          <w:lang w:val="en-US" w:eastAsia="zh-CN"/>
        </w:rPr>
        <w:t>21</w:t>
      </w:r>
      <w:r>
        <w:rPr>
          <w:rFonts w:hint="default" w:eastAsia="仿宋_GB2312"/>
          <w:sz w:val="32"/>
          <w:szCs w:val="32"/>
        </w:rPr>
        <w:t>号</w:t>
      </w:r>
    </w:p>
    <w:p w14:paraId="160ACA95">
      <w:pPr>
        <w:spacing w:line="276" w:lineRule="auto"/>
        <w:jc w:val="center"/>
        <w:rPr>
          <w:rFonts w:hint="default" w:eastAsia="仿宋_GB2312"/>
          <w:szCs w:val="21"/>
        </w:rPr>
      </w:pPr>
    </w:p>
    <w:p w14:paraId="5B3B8783">
      <w:pPr>
        <w:spacing w:line="276" w:lineRule="auto"/>
        <w:jc w:val="center"/>
        <w:rPr>
          <w:rFonts w:hint="default" w:eastAsia="仿宋_GB2312"/>
          <w:szCs w:val="21"/>
        </w:rPr>
      </w:pPr>
    </w:p>
    <w:p w14:paraId="4D0F39BB">
      <w:pPr>
        <w:spacing w:line="240" w:lineRule="atLeast"/>
        <w:jc w:val="center"/>
        <w:rPr>
          <w:rFonts w:hint="default" w:eastAsia="微软简标宋"/>
          <w:sz w:val="44"/>
          <w:szCs w:val="44"/>
        </w:rPr>
      </w:pPr>
      <w:r>
        <w:rPr>
          <w:rFonts w:hint="default" w:eastAsia="微软简标宋"/>
          <w:sz w:val="44"/>
          <w:szCs w:val="44"/>
        </w:rPr>
        <w:t>西安市生态环境局临潼分局</w:t>
      </w:r>
    </w:p>
    <w:p w14:paraId="74A803C1">
      <w:pPr>
        <w:widowControl/>
        <w:jc w:val="center"/>
        <w:rPr>
          <w:rFonts w:hint="default" w:eastAsia="微软简标宋"/>
          <w:spacing w:val="-15"/>
          <w:sz w:val="44"/>
          <w:szCs w:val="44"/>
        </w:rPr>
      </w:pPr>
      <w:bookmarkStart w:id="0" w:name="_GoBack"/>
      <w:r>
        <w:rPr>
          <w:rFonts w:hint="default" w:eastAsia="微软简标宋"/>
          <w:spacing w:val="-15"/>
          <w:sz w:val="44"/>
          <w:szCs w:val="44"/>
        </w:rPr>
        <w:t>关于陕西华银电力实业发展有限公司凤凰大道便利加油站</w:t>
      </w:r>
      <w:r>
        <w:rPr>
          <w:rFonts w:hint="eastAsia" w:eastAsia="微软简标宋"/>
          <w:spacing w:val="-15"/>
          <w:sz w:val="44"/>
          <w:szCs w:val="44"/>
          <w:lang w:val="en-US" w:eastAsia="zh-CN"/>
        </w:rPr>
        <w:t>项目</w:t>
      </w:r>
      <w:r>
        <w:rPr>
          <w:rFonts w:hint="default" w:eastAsia="微软简标宋"/>
          <w:spacing w:val="-15"/>
          <w:sz w:val="44"/>
          <w:szCs w:val="44"/>
        </w:rPr>
        <w:t>环境影响报告表的批复</w:t>
      </w:r>
    </w:p>
    <w:bookmarkEnd w:id="0"/>
    <w:p w14:paraId="44809174">
      <w:pPr>
        <w:widowControl/>
        <w:snapToGrid w:val="0"/>
        <w:spacing w:before="120" w:line="276" w:lineRule="auto"/>
        <w:jc w:val="center"/>
        <w:rPr>
          <w:rFonts w:hint="default"/>
          <w:sz w:val="32"/>
          <w:szCs w:val="32"/>
        </w:rPr>
      </w:pPr>
    </w:p>
    <w:p w14:paraId="2710F0BF">
      <w:pPr>
        <w:widowControl/>
        <w:spacing w:line="560" w:lineRule="exact"/>
        <w:rPr>
          <w:rFonts w:hint="default" w:eastAsia="仿宋_GB2312"/>
          <w:bCs/>
          <w:sz w:val="32"/>
          <w:szCs w:val="32"/>
        </w:rPr>
      </w:pPr>
      <w:r>
        <w:rPr>
          <w:rFonts w:hint="default" w:eastAsia="仿宋_GB2312"/>
          <w:bCs/>
          <w:sz w:val="32"/>
          <w:szCs w:val="32"/>
        </w:rPr>
        <w:t>陕西华银电力实业集团有限公司：</w:t>
      </w:r>
    </w:p>
    <w:p w14:paraId="62F1B5FB">
      <w:pPr>
        <w:widowControl/>
        <w:spacing w:line="560" w:lineRule="exact"/>
        <w:ind w:firstLine="640" w:firstLineChars="200"/>
        <w:rPr>
          <w:rFonts w:hint="default" w:eastAsia="仿宋_GB2312"/>
          <w:bCs/>
          <w:sz w:val="32"/>
          <w:szCs w:val="32"/>
        </w:rPr>
      </w:pPr>
      <w:r>
        <w:rPr>
          <w:rFonts w:hint="default" w:eastAsia="仿宋_GB2312"/>
          <w:bCs/>
          <w:sz w:val="32"/>
          <w:szCs w:val="32"/>
        </w:rPr>
        <w:t>你</w:t>
      </w:r>
      <w:r>
        <w:rPr>
          <w:rFonts w:hint="eastAsia" w:eastAsia="仿宋_GB2312"/>
          <w:bCs/>
          <w:sz w:val="32"/>
          <w:szCs w:val="32"/>
          <w:lang w:val="en-US" w:eastAsia="zh-CN"/>
        </w:rPr>
        <w:t>公司</w:t>
      </w:r>
      <w:r>
        <w:rPr>
          <w:rFonts w:hint="default" w:eastAsia="仿宋_GB2312"/>
          <w:bCs/>
          <w:sz w:val="32"/>
          <w:szCs w:val="32"/>
        </w:rPr>
        <w:t>《陕西华银电力实业发展有限公司凤凰大道便利加油站</w:t>
      </w:r>
      <w:r>
        <w:rPr>
          <w:rFonts w:hint="default" w:eastAsia="仿宋_GB2312"/>
          <w:bCs/>
          <w:sz w:val="32"/>
          <w:szCs w:val="32"/>
          <w:lang w:val="en-US" w:eastAsia="zh-CN"/>
        </w:rPr>
        <w:t>项目</w:t>
      </w:r>
      <w:r>
        <w:rPr>
          <w:rFonts w:hint="default" w:eastAsia="仿宋_GB2312"/>
          <w:bCs/>
          <w:sz w:val="32"/>
          <w:szCs w:val="32"/>
        </w:rPr>
        <w:t>环境影响报告表》（以下简称《报告表》）收悉，结合</w:t>
      </w:r>
      <w:r>
        <w:rPr>
          <w:rFonts w:hint="default" w:eastAsia="仿宋_GB2312"/>
          <w:bCs/>
          <w:sz w:val="32"/>
          <w:szCs w:val="32"/>
          <w:lang w:val="en-US" w:eastAsia="zh-CN"/>
        </w:rPr>
        <w:t>专家</w:t>
      </w:r>
      <w:r>
        <w:rPr>
          <w:rFonts w:hint="default" w:eastAsia="仿宋_GB2312"/>
          <w:bCs/>
          <w:sz w:val="32"/>
          <w:szCs w:val="32"/>
        </w:rPr>
        <w:t>对《报告表》的评估意见</w:t>
      </w:r>
      <w:r>
        <w:rPr>
          <w:rFonts w:eastAsia="仿宋_GB2312"/>
          <w:bCs/>
          <w:sz w:val="32"/>
          <w:szCs w:val="32"/>
        </w:rPr>
        <w:t>，</w:t>
      </w:r>
      <w:r>
        <w:rPr>
          <w:rFonts w:hint="default" w:eastAsia="仿宋_GB2312"/>
          <w:bCs/>
          <w:sz w:val="32"/>
          <w:szCs w:val="32"/>
        </w:rPr>
        <w:t>经我局建设项目环评审查委员会审查后，批复如下：</w:t>
      </w:r>
      <w:r>
        <w:rPr>
          <w:rFonts w:eastAsia="仿宋_GB2312"/>
          <w:bCs/>
          <w:sz w:val="32"/>
          <w:szCs w:val="32"/>
        </w:rPr>
        <w:t xml:space="preserve"> </w:t>
      </w:r>
    </w:p>
    <w:p w14:paraId="487C053E">
      <w:pPr>
        <w:widowControl/>
        <w:spacing w:line="560" w:lineRule="exact"/>
        <w:ind w:firstLine="640" w:firstLineChars="200"/>
        <w:rPr>
          <w:rFonts w:hint="default" w:eastAsia="仿宋_GB2312"/>
          <w:bCs/>
          <w:sz w:val="32"/>
          <w:szCs w:val="32"/>
        </w:rPr>
      </w:pPr>
      <w:r>
        <w:rPr>
          <w:rFonts w:hint="default" w:eastAsia="仿宋_GB2312"/>
          <w:bCs/>
          <w:sz w:val="32"/>
          <w:szCs w:val="32"/>
        </w:rPr>
        <w:t>一、项目概况：</w:t>
      </w:r>
      <w:r>
        <w:rPr>
          <w:rFonts w:hint="default" w:eastAsia="仿宋_GB2312"/>
          <w:bCs/>
          <w:sz w:val="32"/>
          <w:szCs w:val="32"/>
          <w:lang w:val="en-US" w:eastAsia="zh-CN"/>
        </w:rPr>
        <w:t>项目位于西安市临潼度假区凤凰大道，占地面积约600平方米，主体建筑为站房及罩棚，其中站房建筑面积为94.64平方米，为地上一层，加油罩棚建筑面积为145.52平方米。设备部分主要安装30立方米的汽油罐3个，总容积为90立方米，建设标准为三级站</w:t>
      </w:r>
      <w:r>
        <w:rPr>
          <w:rFonts w:hint="eastAsia" w:eastAsia="仿宋_GB2312"/>
          <w:bCs/>
          <w:sz w:val="32"/>
          <w:szCs w:val="32"/>
          <w:lang w:val="en-US" w:eastAsia="zh-CN"/>
        </w:rPr>
        <w:t>。</w:t>
      </w:r>
      <w:r>
        <w:rPr>
          <w:rFonts w:hint="default" w:eastAsia="仿宋_GB2312"/>
          <w:bCs/>
          <w:sz w:val="32"/>
          <w:szCs w:val="32"/>
        </w:rPr>
        <w:t>项目总投资</w:t>
      </w:r>
      <w:r>
        <w:rPr>
          <w:rFonts w:hint="eastAsia" w:eastAsia="仿宋_GB2312"/>
          <w:bCs/>
          <w:sz w:val="32"/>
          <w:szCs w:val="32"/>
          <w:lang w:val="en-US" w:eastAsia="zh-CN"/>
        </w:rPr>
        <w:t>700</w:t>
      </w:r>
      <w:r>
        <w:rPr>
          <w:rFonts w:hint="default" w:eastAsia="仿宋_GB2312"/>
          <w:bCs/>
          <w:sz w:val="32"/>
          <w:szCs w:val="32"/>
        </w:rPr>
        <w:t>万元，其中环保投资</w:t>
      </w:r>
      <w:r>
        <w:rPr>
          <w:rFonts w:hint="eastAsia" w:eastAsia="仿宋_GB2312"/>
          <w:bCs/>
          <w:sz w:val="32"/>
          <w:szCs w:val="32"/>
          <w:lang w:val="en-US" w:eastAsia="zh-CN"/>
        </w:rPr>
        <w:t>25</w:t>
      </w:r>
      <w:r>
        <w:rPr>
          <w:rFonts w:hint="default" w:eastAsia="仿宋_GB2312"/>
          <w:bCs/>
          <w:sz w:val="32"/>
          <w:szCs w:val="32"/>
        </w:rPr>
        <w:t>万元。</w:t>
      </w:r>
    </w:p>
    <w:p w14:paraId="289B71D8">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二、经审查，项目在采取《报告表》所列的各项污染防治措施后，对环境的不利影响能够得到有效缓解和控制。</w:t>
      </w:r>
      <w:r>
        <w:rPr>
          <w:rFonts w:eastAsia="仿宋_GB2312"/>
          <w:bCs/>
          <w:sz w:val="32"/>
          <w:szCs w:val="32"/>
        </w:rPr>
        <w:t>我局同意该项目的环境影响评价总体结论和各项环境保护措施。</w:t>
      </w:r>
    </w:p>
    <w:p w14:paraId="1A3FC7DF">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三、项目运行中应重点做好以下工作：</w:t>
      </w:r>
    </w:p>
    <w:p w14:paraId="780E7143">
      <w:pPr>
        <w:spacing w:line="560" w:lineRule="exact"/>
        <w:ind w:firstLine="640" w:firstLineChars="200"/>
        <w:rPr>
          <w:rFonts w:hint="eastAsia" w:ascii="Times New Roman" w:hAnsi="Times New Roman" w:eastAsia="仿宋_GB2312" w:cs="Times New Roman"/>
          <w:bCs/>
          <w:sz w:val="32"/>
          <w:szCs w:val="32"/>
          <w:lang w:eastAsia="zh-CN"/>
        </w:rPr>
      </w:pPr>
      <w:r>
        <w:rPr>
          <w:rFonts w:hint="default" w:eastAsia="仿宋_GB2312"/>
          <w:bCs/>
          <w:sz w:val="32"/>
          <w:szCs w:val="32"/>
        </w:rPr>
        <w:t>（一）严格落实大气污染防治措施。设置三次油气回收装置，卸油过程采取油气平衡</w:t>
      </w:r>
      <w:r>
        <w:rPr>
          <w:rFonts w:hint="eastAsia" w:eastAsia="仿宋_GB2312"/>
          <w:bCs/>
          <w:sz w:val="32"/>
          <w:szCs w:val="32"/>
          <w:lang w:val="en-US" w:eastAsia="zh-CN"/>
        </w:rPr>
        <w:t>达到</w:t>
      </w:r>
      <w:r>
        <w:rPr>
          <w:rFonts w:hint="default" w:eastAsia="仿宋_GB2312"/>
          <w:bCs/>
          <w:sz w:val="32"/>
          <w:szCs w:val="32"/>
        </w:rPr>
        <w:t>一次油气回收；加油过程采取</w:t>
      </w:r>
      <w:r>
        <w:rPr>
          <w:rFonts w:hint="eastAsia" w:eastAsia="仿宋_GB2312"/>
          <w:bCs/>
          <w:sz w:val="32"/>
          <w:szCs w:val="32"/>
          <w:lang w:val="en-US" w:eastAsia="zh-CN"/>
        </w:rPr>
        <w:t>真空辅助式设备达到</w:t>
      </w:r>
      <w:r>
        <w:rPr>
          <w:rFonts w:hint="default" w:eastAsia="仿宋_GB2312"/>
          <w:bCs/>
          <w:sz w:val="32"/>
          <w:szCs w:val="32"/>
        </w:rPr>
        <w:t>二次油气回收；储油过程采取冷凝法+活性炭吸附</w:t>
      </w:r>
      <w:r>
        <w:rPr>
          <w:rFonts w:hint="eastAsia" w:eastAsia="仿宋_GB2312"/>
          <w:bCs/>
          <w:sz w:val="32"/>
          <w:szCs w:val="32"/>
          <w:lang w:val="en-US" w:eastAsia="zh-CN"/>
        </w:rPr>
        <w:t>达到</w:t>
      </w:r>
      <w:r>
        <w:rPr>
          <w:rFonts w:hint="default" w:eastAsia="仿宋_GB2312"/>
          <w:bCs/>
          <w:sz w:val="32"/>
          <w:szCs w:val="32"/>
        </w:rPr>
        <w:t>三次油气回收</w:t>
      </w:r>
      <w:r>
        <w:rPr>
          <w:rFonts w:hint="eastAsia" w:ascii="Times New Roman" w:hAnsi="Times New Roman" w:eastAsia="仿宋_GB2312" w:cs="Times New Roman"/>
          <w:bCs/>
          <w:sz w:val="32"/>
          <w:szCs w:val="32"/>
          <w:lang w:eastAsia="zh-CN"/>
        </w:rPr>
        <w:t>。</w:t>
      </w:r>
    </w:p>
    <w:p w14:paraId="6C3802D7">
      <w:pPr>
        <w:spacing w:line="560" w:lineRule="exact"/>
        <w:ind w:firstLine="640" w:firstLineChars="200"/>
        <w:rPr>
          <w:rFonts w:hint="default" w:eastAsia="仿宋_GB2312"/>
          <w:bCs/>
          <w:sz w:val="32"/>
          <w:szCs w:val="32"/>
          <w:lang w:val="en-US" w:eastAsia="zh-CN"/>
        </w:rPr>
      </w:pPr>
      <w:r>
        <w:rPr>
          <w:rFonts w:hint="default" w:eastAsia="仿宋_GB2312"/>
          <w:bCs/>
          <w:sz w:val="32"/>
          <w:szCs w:val="32"/>
        </w:rPr>
        <w:t>（二）严格落实水污染防治措施。生活污水进入化粪池处理后，经市政污水管网排入西安市临潼新区污水处理厂</w:t>
      </w:r>
      <w:r>
        <w:rPr>
          <w:rFonts w:hint="eastAsia" w:eastAsia="仿宋_GB2312"/>
          <w:bCs/>
          <w:sz w:val="32"/>
          <w:szCs w:val="32"/>
          <w:lang w:val="en-US" w:eastAsia="zh-CN"/>
        </w:rPr>
        <w:t>。</w:t>
      </w:r>
    </w:p>
    <w:p w14:paraId="1E230259">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w:t>
      </w:r>
      <w:r>
        <w:rPr>
          <w:rFonts w:hint="default" w:eastAsia="仿宋_GB2312"/>
          <w:sz w:val="32"/>
          <w:szCs w:val="32"/>
        </w:rPr>
        <w:t>优化厂区平面布置</w:t>
      </w:r>
      <w:r>
        <w:rPr>
          <w:rFonts w:hint="eastAsia" w:eastAsia="仿宋_GB2312"/>
          <w:sz w:val="32"/>
          <w:szCs w:val="32"/>
          <w:lang w:eastAsia="zh-CN"/>
        </w:rPr>
        <w:t>。采取基础减振、隔声等措施，交通车辆减速慢行、禁止鸣笛、在进出口处设置减速带</w:t>
      </w:r>
      <w:r>
        <w:rPr>
          <w:rFonts w:eastAsia="仿宋_GB2312"/>
          <w:bCs/>
          <w:sz w:val="32"/>
          <w:szCs w:val="32"/>
        </w:rPr>
        <w:t>。</w:t>
      </w:r>
    </w:p>
    <w:p w14:paraId="3D34F404">
      <w:pPr>
        <w:widowControl/>
        <w:adjustRightInd w:val="0"/>
        <w:snapToGrid w:val="0"/>
        <w:spacing w:line="560" w:lineRule="exact"/>
        <w:ind w:firstLine="640" w:firstLineChars="200"/>
        <w:rPr>
          <w:rFonts w:eastAsia="仿宋_GB2312"/>
          <w:bCs/>
          <w:sz w:val="32"/>
          <w:szCs w:val="32"/>
        </w:rPr>
      </w:pPr>
      <w:r>
        <w:rPr>
          <w:rFonts w:hint="default" w:eastAsia="仿宋_GB2312"/>
          <w:bCs/>
          <w:sz w:val="32"/>
          <w:szCs w:val="32"/>
        </w:rPr>
        <w:t>（四）合规处置各类固体废物。危险废物分类收集贮存，委托有资质单位处置；生活垃圾分类收集，由环卫部门及时清运</w:t>
      </w:r>
      <w:r>
        <w:rPr>
          <w:rFonts w:eastAsia="仿宋_GB2312"/>
          <w:bCs/>
          <w:sz w:val="32"/>
          <w:szCs w:val="32"/>
        </w:rPr>
        <w:t>。</w:t>
      </w:r>
    </w:p>
    <w:p w14:paraId="1785D749">
      <w:pPr>
        <w:widowControl/>
        <w:adjustRightInd w:val="0"/>
        <w:snapToGrid w:val="0"/>
        <w:spacing w:line="560" w:lineRule="exact"/>
        <w:ind w:firstLine="640" w:firstLineChars="200"/>
        <w:rPr>
          <w:rFonts w:eastAsia="仿宋_GB2312"/>
          <w:bCs/>
          <w:sz w:val="32"/>
          <w:szCs w:val="32"/>
        </w:rPr>
      </w:pPr>
      <w:r>
        <w:rPr>
          <w:rFonts w:hint="eastAsia" w:eastAsia="仿宋_GB2312"/>
          <w:bCs/>
          <w:sz w:val="32"/>
          <w:szCs w:val="32"/>
        </w:rPr>
        <w:t>（五）增强环境风险防范意识。严格落实环境风险防范措施，按要求编制环境风险应急预案，报我局备案。</w:t>
      </w:r>
    </w:p>
    <w:p w14:paraId="6464D4EA">
      <w:pPr>
        <w:pStyle w:val="5"/>
        <w:adjustRightInd w:val="0"/>
        <w:snapToGrid w:val="0"/>
        <w:spacing w:after="0" w:line="576" w:lineRule="exact"/>
        <w:ind w:firstLine="640" w:firstLineChars="200"/>
        <w:rPr>
          <w:rFonts w:hint="default" w:eastAsia="仿宋_GB2312"/>
          <w:bCs/>
          <w:sz w:val="32"/>
          <w:szCs w:val="32"/>
        </w:rPr>
      </w:pPr>
      <w:r>
        <w:rPr>
          <w:rFonts w:eastAsia="仿宋_GB2312"/>
          <w:bCs/>
          <w:sz w:val="32"/>
          <w:szCs w:val="32"/>
        </w:rPr>
        <w:t>四、</w:t>
      </w:r>
      <w:r>
        <w:rPr>
          <w:rFonts w:hint="default" w:eastAsia="仿宋_GB2312"/>
          <w:bCs/>
          <w:sz w:val="32"/>
          <w:szCs w:val="32"/>
        </w:rPr>
        <w:t>项目在建设过程中，你</w:t>
      </w:r>
      <w:r>
        <w:rPr>
          <w:rFonts w:hint="eastAsia" w:eastAsia="仿宋_GB2312"/>
          <w:bCs/>
          <w:sz w:val="32"/>
          <w:szCs w:val="32"/>
          <w:lang w:val="en-US" w:eastAsia="zh-CN"/>
        </w:rPr>
        <w:t>公司</w:t>
      </w:r>
      <w:r>
        <w:rPr>
          <w:rFonts w:hint="default" w:eastAsia="仿宋_GB2312"/>
          <w:bCs/>
          <w:sz w:val="32"/>
          <w:szCs w:val="32"/>
        </w:rPr>
        <w:t>应严格执行环保</w:t>
      </w:r>
      <w:r>
        <w:rPr>
          <w:rFonts w:eastAsia="仿宋_GB2312"/>
          <w:bCs/>
          <w:sz w:val="32"/>
          <w:szCs w:val="32"/>
        </w:rPr>
        <w:t>“</w:t>
      </w:r>
      <w:r>
        <w:rPr>
          <w:rFonts w:hint="default" w:eastAsia="仿宋_GB2312"/>
          <w:bCs/>
          <w:sz w:val="32"/>
          <w:szCs w:val="32"/>
        </w:rPr>
        <w:t>三同时</w:t>
      </w:r>
      <w:r>
        <w:rPr>
          <w:rFonts w:eastAsia="仿宋_GB2312"/>
          <w:bCs/>
          <w:sz w:val="32"/>
          <w:szCs w:val="32"/>
        </w:rPr>
        <w:t>”</w:t>
      </w:r>
      <w:r>
        <w:rPr>
          <w:rFonts w:hint="default" w:eastAsia="仿宋_GB2312"/>
          <w:bCs/>
          <w:sz w:val="32"/>
          <w:szCs w:val="32"/>
        </w:rPr>
        <w:t>制度。项目建成后应按要求和规定程序办理排污许可手续和开展竣工环境保护验收。</w:t>
      </w:r>
    </w:p>
    <w:p w14:paraId="40F24D06">
      <w:pPr>
        <w:pStyle w:val="5"/>
        <w:adjustRightInd w:val="0"/>
        <w:snapToGrid w:val="0"/>
        <w:spacing w:after="0" w:line="576" w:lineRule="exact"/>
        <w:ind w:firstLine="640" w:firstLineChars="200"/>
        <w:rPr>
          <w:rFonts w:hint="default" w:eastAsia="仿宋_GB2312"/>
          <w:bCs/>
          <w:sz w:val="32"/>
          <w:szCs w:val="32"/>
        </w:rPr>
      </w:pPr>
    </w:p>
    <w:p w14:paraId="4F0662CA">
      <w:pPr>
        <w:pStyle w:val="5"/>
        <w:adjustRightInd w:val="0"/>
        <w:snapToGrid w:val="0"/>
        <w:spacing w:after="0" w:line="576" w:lineRule="exact"/>
        <w:ind w:firstLine="640" w:firstLineChars="200"/>
        <w:rPr>
          <w:rFonts w:hint="default" w:eastAsia="仿宋_GB2312"/>
          <w:bCs/>
          <w:sz w:val="32"/>
          <w:szCs w:val="32"/>
        </w:rPr>
      </w:pPr>
    </w:p>
    <w:p w14:paraId="35B4C34D">
      <w:pPr>
        <w:spacing w:line="576" w:lineRule="exact"/>
        <w:ind w:firstLine="4160" w:firstLineChars="1300"/>
        <w:jc w:val="left"/>
        <w:rPr>
          <w:rFonts w:hint="default" w:eastAsia="仿宋_GB2312"/>
          <w:bCs/>
          <w:sz w:val="32"/>
          <w:szCs w:val="32"/>
        </w:rPr>
      </w:pPr>
      <w:r>
        <w:rPr>
          <w:rFonts w:hint="default" w:eastAsia="仿宋_GB2312"/>
          <w:bCs/>
          <w:sz w:val="32"/>
          <w:szCs w:val="32"/>
        </w:rPr>
        <w:t>西安市生态环境局临潼分局</w:t>
      </w:r>
    </w:p>
    <w:tbl>
      <w:tblPr>
        <w:tblStyle w:val="6"/>
        <w:tblpPr w:leftFromText="180" w:rightFromText="180" w:vertAnchor="text" w:horzAnchor="page" w:tblpX="1683" w:tblpY="10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25A7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Borders>
              <w:left w:val="nil"/>
              <w:right w:val="nil"/>
            </w:tcBorders>
          </w:tcPr>
          <w:p w14:paraId="4AA16C31">
            <w:pPr>
              <w:autoSpaceDN w:val="0"/>
              <w:spacing w:line="520" w:lineRule="exact"/>
              <w:rPr>
                <w:rFonts w:hint="default" w:eastAsia="仿宋"/>
                <w:bCs/>
                <w:sz w:val="32"/>
                <w:szCs w:val="32"/>
                <w:lang w:val="en-US" w:eastAsia="zh-CN"/>
              </w:rPr>
            </w:pPr>
            <w:r>
              <w:rPr>
                <w:rFonts w:hint="default" w:hAnsi="仿宋" w:eastAsia="仿宋"/>
                <w:bCs/>
                <w:sz w:val="32"/>
                <w:szCs w:val="32"/>
              </w:rPr>
              <w:t>抄送：</w:t>
            </w:r>
            <w:r>
              <w:rPr>
                <w:rFonts w:hAnsi="仿宋" w:eastAsia="仿宋"/>
                <w:bCs/>
                <w:sz w:val="32"/>
                <w:szCs w:val="32"/>
              </w:rPr>
              <w:t>西安市生态环境保护综合执法支队临潼大队、西安同众环保科技有限公司</w:t>
            </w:r>
          </w:p>
        </w:tc>
      </w:tr>
    </w:tbl>
    <w:p w14:paraId="690EA8D4">
      <w:pPr>
        <w:spacing w:line="576" w:lineRule="exact"/>
        <w:ind w:firstLine="4960" w:firstLineChars="1550"/>
        <w:jc w:val="left"/>
        <w:rPr>
          <w:rFonts w:hint="default" w:eastAsia="仿宋_GB2312"/>
          <w:bCs/>
          <w:sz w:val="32"/>
          <w:szCs w:val="32"/>
        </w:rPr>
      </w:pPr>
      <w:r>
        <w:rPr>
          <w:rFonts w:hint="default" w:eastAsia="仿宋_GB2312"/>
          <w:bCs/>
          <w:sz w:val="32"/>
          <w:szCs w:val="32"/>
        </w:rPr>
        <w:t>20</w:t>
      </w:r>
      <w:r>
        <w:rPr>
          <w:rFonts w:eastAsia="仿宋_GB2312"/>
          <w:bCs/>
          <w:sz w:val="32"/>
          <w:szCs w:val="32"/>
        </w:rPr>
        <w:t>2</w:t>
      </w:r>
      <w:r>
        <w:rPr>
          <w:rFonts w:hint="eastAsia" w:eastAsia="仿宋_GB2312"/>
          <w:bCs/>
          <w:sz w:val="32"/>
          <w:szCs w:val="32"/>
          <w:lang w:val="en-US" w:eastAsia="zh-CN"/>
        </w:rPr>
        <w:t>5</w:t>
      </w:r>
      <w:r>
        <w:rPr>
          <w:rFonts w:hint="default" w:eastAsia="仿宋_GB2312"/>
          <w:bCs/>
          <w:sz w:val="32"/>
          <w:szCs w:val="32"/>
        </w:rPr>
        <w:t>年</w:t>
      </w:r>
      <w:r>
        <w:rPr>
          <w:rFonts w:hint="eastAsia" w:eastAsia="仿宋_GB2312"/>
          <w:bCs/>
          <w:sz w:val="32"/>
          <w:szCs w:val="32"/>
          <w:lang w:val="en-US" w:eastAsia="zh-CN"/>
        </w:rPr>
        <w:t>11</w:t>
      </w:r>
      <w:r>
        <w:rPr>
          <w:rFonts w:hint="default" w:eastAsia="仿宋_GB2312"/>
          <w:bCs/>
          <w:sz w:val="32"/>
          <w:szCs w:val="32"/>
        </w:rPr>
        <w:t>月</w:t>
      </w:r>
      <w:r>
        <w:rPr>
          <w:rFonts w:hint="eastAsia" w:eastAsia="仿宋_GB2312"/>
          <w:bCs/>
          <w:sz w:val="32"/>
          <w:szCs w:val="32"/>
          <w:lang w:val="en-US" w:eastAsia="zh-CN"/>
        </w:rPr>
        <w:t>27</w:t>
      </w:r>
      <w:r>
        <w:rPr>
          <w:rFonts w:hint="default" w:eastAsia="仿宋_GB2312"/>
          <w:bCs/>
          <w:sz w:val="32"/>
          <w:szCs w:val="32"/>
        </w:rPr>
        <w:t>日</w:t>
      </w:r>
    </w:p>
    <w:sectPr>
      <w:footerReference r:id="rId3" w:type="default"/>
      <w:pgSz w:w="11906" w:h="16838"/>
      <w:pgMar w:top="1417" w:right="1644" w:bottom="1440"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D90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E1E07"/>
    <w:rsid w:val="0F58051A"/>
    <w:rsid w:val="142F698D"/>
    <w:rsid w:val="28851357"/>
    <w:rsid w:val="416C5B3B"/>
    <w:rsid w:val="42B15866"/>
    <w:rsid w:val="4F185A57"/>
    <w:rsid w:val="511E1E07"/>
    <w:rsid w:val="58815B21"/>
    <w:rsid w:val="5A1D1E2D"/>
    <w:rsid w:val="69AE6104"/>
    <w:rsid w:val="761F2D26"/>
    <w:rsid w:val="79DC4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spacing w:after="120"/>
      <w:ind w:firstLine="420" w:firstLineChars="100"/>
      <w:jc w:val="both"/>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828</Words>
  <Characters>860</Characters>
  <Lines>0</Lines>
  <Paragraphs>0</Paragraphs>
  <TotalTime>0</TotalTime>
  <ScaleCrop>false</ScaleCrop>
  <LinksUpToDate>false</LinksUpToDate>
  <CharactersWithSpaces>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2025-05-15T02:09:00Z</dcterms:created>
  <dc:creator>离羽</dc:creator>
  <cp:lastModifiedBy>离羽</cp:lastModifiedBy>
  <cp:lastPrinted>2025-05-28T01:13:00Z</cp:lastPrinted>
  <dcterms:modified xsi:type="dcterms:W3CDTF">2025-11-27T03:00:12Z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E9A5F46524EA4DE2AB8D6FA8ABF50AA7_11</vt:lpwstr>
  </property>
  <property fmtid="{D5CDD505-2E9C-101B-9397-08002B2CF9AE}" pid="4" name="KSOTemplateDocerSaveRecord">
    <vt:lpwstr>eyJoZGlkIjoiYWU2NTY5MzQ5NzBlMGY0YWRjYTAzNmQyMjFjOTRmNmEiLCJ1c2VySWQiOiI5NjUwNDA1NTkifQ==</vt:lpwstr>
  </property>
</Properties>
</file>