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5</w:t>
      </w:r>
      <w:r>
        <w:rPr>
          <w:rFonts w:hint="default" w:eastAsia="仿宋_GB2312"/>
          <w:sz w:val="32"/>
          <w:szCs w:val="32"/>
        </w:rPr>
        <w:t>〕</w:t>
      </w:r>
      <w:r>
        <w:rPr>
          <w:rFonts w:hint="eastAsia" w:eastAsia="仿宋_GB2312"/>
          <w:sz w:val="32"/>
          <w:szCs w:val="32"/>
          <w:lang w:val="en-US" w:eastAsia="zh-CN"/>
        </w:rPr>
        <w:t>22</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bookmarkStart w:id="0" w:name="_GoBack"/>
      <w:r>
        <w:rPr>
          <w:rFonts w:hint="default" w:eastAsia="微软简标宋"/>
          <w:spacing w:val="-15"/>
          <w:sz w:val="44"/>
          <w:szCs w:val="44"/>
        </w:rPr>
        <w:t>关于西安科技大学临潼校区骊山校园锅炉房扩建项目环境影响报告表的批复</w:t>
      </w:r>
    </w:p>
    <w:bookmarkEnd w:id="0"/>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西安科技大学：</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单位</w:t>
      </w:r>
      <w:r>
        <w:rPr>
          <w:rFonts w:hint="default" w:eastAsia="仿宋_GB2312"/>
          <w:bCs/>
          <w:sz w:val="32"/>
          <w:szCs w:val="32"/>
        </w:rPr>
        <w:t>《西安科技大学临潼校区骊山校园锅炉房扩建项目环境影响报告表》（以下简称《报告表》）收悉，结合西安市环境保护科学研究院对《报告表》的技术评估意见（市评估函〔202</w:t>
      </w:r>
      <w:r>
        <w:rPr>
          <w:rFonts w:hint="default" w:eastAsia="仿宋_GB2312"/>
          <w:bCs/>
          <w:sz w:val="32"/>
          <w:szCs w:val="32"/>
          <w:lang w:val="en-US" w:eastAsia="zh-CN"/>
        </w:rPr>
        <w:t>5</w:t>
      </w:r>
      <w:r>
        <w:rPr>
          <w:rFonts w:hint="default" w:eastAsia="仿宋_GB2312"/>
          <w:bCs/>
          <w:sz w:val="32"/>
          <w:szCs w:val="32"/>
        </w:rPr>
        <w:t>〕</w:t>
      </w:r>
      <w:r>
        <w:rPr>
          <w:rFonts w:hint="eastAsia" w:eastAsia="仿宋_GB2312"/>
          <w:bCs/>
          <w:sz w:val="32"/>
          <w:szCs w:val="32"/>
          <w:lang w:val="en-US" w:eastAsia="zh-CN"/>
        </w:rPr>
        <w:t>260</w:t>
      </w:r>
      <w:r>
        <w:rPr>
          <w:rFonts w:hint="default" w:eastAsia="仿宋_GB2312"/>
          <w:bCs/>
          <w:sz w:val="32"/>
          <w:szCs w:val="32"/>
        </w:rPr>
        <w:t>号）</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依托原有锅炉房扩建</w:t>
      </w:r>
      <w:r>
        <w:rPr>
          <w:rFonts w:hint="default" w:eastAsia="仿宋_GB2312"/>
          <w:bCs/>
          <w:sz w:val="32"/>
          <w:szCs w:val="32"/>
        </w:rPr>
        <w:t>10台1.5t/h燃气锅炉及相应的配套设施</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300</w:t>
      </w:r>
      <w:r>
        <w:rPr>
          <w:rFonts w:hint="default" w:eastAsia="仿宋_GB2312"/>
          <w:bCs/>
          <w:sz w:val="32"/>
          <w:szCs w:val="32"/>
        </w:rPr>
        <w:t>万元，其中环保投资</w:t>
      </w:r>
      <w:r>
        <w:rPr>
          <w:rFonts w:hint="eastAsia" w:eastAsia="仿宋_GB2312"/>
          <w:bCs/>
          <w:sz w:val="32"/>
          <w:szCs w:val="32"/>
          <w:lang w:val="en-US" w:eastAsia="zh-CN"/>
        </w:rPr>
        <w:t>58</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eastAsia" w:ascii="Times New Roman" w:hAnsi="Times New Roman" w:eastAsia="仿宋_GB2312" w:cs="Times New Roman"/>
          <w:bCs/>
          <w:sz w:val="32"/>
          <w:szCs w:val="32"/>
          <w:lang w:eastAsia="zh-CN"/>
        </w:rPr>
      </w:pPr>
      <w:r>
        <w:rPr>
          <w:rFonts w:hint="default" w:eastAsia="仿宋_GB2312"/>
          <w:bCs/>
          <w:sz w:val="32"/>
          <w:szCs w:val="32"/>
        </w:rPr>
        <w:t>（一）严格落实大气污染防治措施。南区锅炉房</w:t>
      </w:r>
      <w:r>
        <w:rPr>
          <w:rFonts w:hint="default" w:eastAsia="仿宋_GB2312"/>
          <w:bCs/>
          <w:sz w:val="32"/>
          <w:szCs w:val="32"/>
          <w:lang w:val="en-US" w:eastAsia="zh-CN"/>
        </w:rPr>
        <w:t>两台</w:t>
      </w:r>
      <w:r>
        <w:rPr>
          <w:rFonts w:hint="default" w:eastAsia="仿宋_GB2312"/>
          <w:bCs/>
          <w:sz w:val="32"/>
          <w:szCs w:val="32"/>
        </w:rPr>
        <w:t>锅炉产生的锅炉废气经低氮燃烧器处理后通过15m（DA002）排气筒排放。西区锅炉房</w:t>
      </w:r>
      <w:r>
        <w:rPr>
          <w:rFonts w:hint="default" w:eastAsia="仿宋_GB2312"/>
          <w:bCs/>
          <w:sz w:val="32"/>
          <w:szCs w:val="32"/>
          <w:lang w:val="en-US" w:eastAsia="zh-CN"/>
        </w:rPr>
        <w:t>八台锅炉</w:t>
      </w:r>
      <w:r>
        <w:rPr>
          <w:rFonts w:hint="default" w:eastAsia="仿宋_GB2312"/>
          <w:bCs/>
          <w:sz w:val="32"/>
          <w:szCs w:val="32"/>
        </w:rPr>
        <w:t>产生的锅炉废气经低氮燃烧器处理后通过18m排气筒（DA003）排放</w:t>
      </w:r>
      <w:r>
        <w:rPr>
          <w:rFonts w:hint="eastAsia" w:ascii="Times New Roman" w:hAnsi="Times New Roman" w:eastAsia="仿宋_GB2312" w:cs="Times New Roman"/>
          <w:bCs/>
          <w:sz w:val="32"/>
          <w:szCs w:val="32"/>
          <w:lang w:eastAsia="zh-CN"/>
        </w:rPr>
        <w:t>。</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w:t>
      </w:r>
      <w:r>
        <w:rPr>
          <w:rFonts w:hint="default" w:eastAsia="仿宋_GB2312"/>
          <w:bCs/>
          <w:sz w:val="32"/>
          <w:szCs w:val="32"/>
          <w:lang w:val="zh-TW" w:eastAsia="zh-CN"/>
        </w:rPr>
        <w:t>锅炉排水和软水设备排水经化粪池处理后部分排入校区污水处理站，处理后中水回用于绿化及冲厕，部分废水排入市政污水管网进入临潼区第二再生水厂</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。选用低噪声设备、厂房隔声、水泵减震等措施</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w:t>
      </w:r>
      <w:r>
        <w:rPr>
          <w:rFonts w:hint="default" w:eastAsia="仿宋_GB2312"/>
          <w:bCs/>
          <w:sz w:val="32"/>
          <w:szCs w:val="32"/>
          <w:lang w:val="en-US" w:eastAsia="zh-CN"/>
        </w:rPr>
        <w:t>离子交换树脂厂家定期更换回收，项目区不进行暂存</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40F24D06">
      <w:pPr>
        <w:pStyle w:val="5"/>
        <w:adjustRightInd w:val="0"/>
        <w:snapToGrid w:val="0"/>
        <w:spacing w:after="0" w:line="576" w:lineRule="exact"/>
        <w:ind w:left="0" w:leftChars="0" w:firstLine="0" w:firstLineChars="0"/>
        <w:rPr>
          <w:rFonts w:hint="default" w:eastAsia="仿宋_GB2312"/>
          <w:bCs/>
          <w:sz w:val="32"/>
          <w:szCs w:val="32"/>
        </w:rPr>
      </w:pPr>
    </w:p>
    <w:p w14:paraId="0FED79EF">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83" w:tblpY="10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5A7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4AA16C31">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西安市生态环境保护综合执法支队临潼大队、陕西博浩天地环保科技有限公司</w:t>
            </w:r>
          </w:p>
        </w:tc>
      </w:tr>
    </w:tbl>
    <w:p w14:paraId="690EA8D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5</w:t>
      </w:r>
      <w:r>
        <w:rPr>
          <w:rFonts w:hint="default" w:eastAsia="仿宋_GB2312"/>
          <w:bCs/>
          <w:sz w:val="32"/>
          <w:szCs w:val="32"/>
        </w:rPr>
        <w:t>年</w:t>
      </w:r>
      <w:r>
        <w:rPr>
          <w:rFonts w:hint="eastAsia" w:eastAsia="仿宋_GB2312"/>
          <w:bCs/>
          <w:sz w:val="32"/>
          <w:szCs w:val="32"/>
          <w:lang w:val="en-US" w:eastAsia="zh-CN"/>
        </w:rPr>
        <w:t>11</w:t>
      </w:r>
      <w:r>
        <w:rPr>
          <w:rFonts w:hint="default" w:eastAsia="仿宋_GB2312"/>
          <w:bCs/>
          <w:sz w:val="32"/>
          <w:szCs w:val="32"/>
        </w:rPr>
        <w:t>月</w:t>
      </w:r>
      <w:r>
        <w:rPr>
          <w:rFonts w:hint="eastAsia" w:eastAsia="仿宋_GB2312"/>
          <w:bCs/>
          <w:sz w:val="32"/>
          <w:szCs w:val="32"/>
          <w:lang w:val="en-US" w:eastAsia="zh-CN"/>
        </w:rPr>
        <w:t>27</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28851357"/>
    <w:rsid w:val="42B15866"/>
    <w:rsid w:val="4F185A57"/>
    <w:rsid w:val="511E1E07"/>
    <w:rsid w:val="58815B21"/>
    <w:rsid w:val="5A1D1E2D"/>
    <w:rsid w:val="69AE6104"/>
    <w:rsid w:val="761F2D26"/>
    <w:rsid w:val="79DC4060"/>
    <w:rsid w:val="7F0B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828</Words>
  <Characters>860</Characters>
  <Lines>0</Lines>
  <Paragraphs>0</Paragraphs>
  <TotalTime>1</TotalTime>
  <ScaleCrop>false</ScaleCrop>
  <LinksUpToDate>false</LinksUpToDate>
  <CharactersWithSpaces>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2025-05-28T01:13:00Z</cp:lastPrinted>
  <dcterms:modified xsi:type="dcterms:W3CDTF">2025-11-27T03:05:42Z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