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6</w:t>
      </w:r>
      <w:r>
        <w:rPr>
          <w:rFonts w:hint="default" w:eastAsia="仿宋_GB2312"/>
          <w:sz w:val="32"/>
          <w:szCs w:val="32"/>
        </w:rPr>
        <w:t>〕</w:t>
      </w:r>
      <w:r>
        <w:rPr>
          <w:rFonts w:hint="eastAsia" w:eastAsia="仿宋_GB2312"/>
          <w:sz w:val="32"/>
          <w:szCs w:val="32"/>
          <w:lang w:val="en-US" w:eastAsia="zh-CN"/>
        </w:rPr>
        <w:t>2</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5"/>
          <w:sz w:val="44"/>
          <w:szCs w:val="44"/>
        </w:rPr>
      </w:pPr>
      <w:r>
        <w:rPr>
          <w:rFonts w:hint="default" w:eastAsia="微软简标宋"/>
          <w:spacing w:val="-15"/>
          <w:sz w:val="44"/>
          <w:szCs w:val="44"/>
        </w:rPr>
        <w:t>关于中石化绿源临潼分公司</w:t>
      </w:r>
      <w:r>
        <w:rPr>
          <w:rFonts w:hint="default" w:eastAsia="微软简标宋"/>
          <w:spacing w:val="-15"/>
          <w:sz w:val="44"/>
          <w:szCs w:val="44"/>
          <w:lang w:eastAsia="zh-CN"/>
        </w:rPr>
        <w:t>西安市临潼绿源热力公司“地热+”清洁能源替代供热项目</w:t>
      </w:r>
      <w:r>
        <w:rPr>
          <w:rFonts w:hint="default" w:eastAsia="微软简标宋"/>
          <w:spacing w:val="-15"/>
          <w:sz w:val="44"/>
          <w:szCs w:val="44"/>
        </w:rPr>
        <w:t>环境影响报告表的批复</w:t>
      </w:r>
    </w:p>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lang w:eastAsia="zh-CN"/>
        </w:rPr>
        <w:t>中石化绿源地热能（陕西）开发有限公司</w:t>
      </w:r>
      <w:r>
        <w:rPr>
          <w:rFonts w:hint="default" w:eastAsia="仿宋_GB2312"/>
          <w:bCs/>
          <w:sz w:val="32"/>
          <w:szCs w:val="32"/>
          <w:lang w:val="en-US" w:eastAsia="zh-CN"/>
        </w:rPr>
        <w:t>临潼分公司</w:t>
      </w:r>
      <w:r>
        <w:rPr>
          <w:rFonts w:hint="default" w:eastAsia="仿宋_GB2312"/>
          <w:bCs/>
          <w:sz w:val="32"/>
          <w:szCs w:val="32"/>
        </w:rPr>
        <w:t>：</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《中石化绿源临潼分公司</w:t>
      </w:r>
      <w:r>
        <w:rPr>
          <w:rFonts w:hint="default" w:eastAsia="仿宋_GB2312"/>
          <w:bCs/>
          <w:sz w:val="32"/>
          <w:szCs w:val="32"/>
          <w:lang w:eastAsia="zh-CN"/>
        </w:rPr>
        <w:t>西安市临潼绿源热力公司“地热+”清洁能源替代供热项目</w:t>
      </w:r>
      <w:r>
        <w:rPr>
          <w:rFonts w:hint="default" w:eastAsia="仿宋_GB2312"/>
          <w:bCs/>
          <w:sz w:val="32"/>
          <w:szCs w:val="32"/>
        </w:rPr>
        <w:t>环境影响报告表》（以下简称《报告表》）收悉，结合西安市环境保护科学研究院对《报告表》的技术评估意见（市评估函〔202</w:t>
      </w:r>
      <w:r>
        <w:rPr>
          <w:rFonts w:hint="eastAsia" w:eastAsia="仿宋_GB2312"/>
          <w:bCs/>
          <w:sz w:val="32"/>
          <w:szCs w:val="32"/>
          <w:lang w:val="en-US" w:eastAsia="zh-CN"/>
        </w:rPr>
        <w:t>6</w:t>
      </w:r>
      <w:r>
        <w:rPr>
          <w:rFonts w:hint="default" w:eastAsia="仿宋_GB2312"/>
          <w:bCs/>
          <w:sz w:val="32"/>
          <w:szCs w:val="32"/>
        </w:rPr>
        <w:t>〕</w:t>
      </w:r>
      <w:r>
        <w:rPr>
          <w:rFonts w:hint="eastAsia" w:eastAsia="仿宋_GB2312"/>
          <w:bCs/>
          <w:sz w:val="32"/>
          <w:szCs w:val="32"/>
          <w:lang w:val="en-US" w:eastAsia="zh-CN"/>
        </w:rPr>
        <w:t>7</w:t>
      </w:r>
      <w:r>
        <w:rPr>
          <w:rFonts w:hint="default" w:eastAsia="仿宋_GB2312"/>
          <w:bCs/>
          <w:sz w:val="32"/>
          <w:szCs w:val="32"/>
        </w:rPr>
        <w:t>号）</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一、项目概况：项目</w:t>
      </w:r>
      <w:r>
        <w:rPr>
          <w:rFonts w:hint="eastAsia" w:eastAsia="仿宋_GB2312"/>
          <w:bCs/>
          <w:sz w:val="32"/>
          <w:szCs w:val="32"/>
          <w:lang w:val="en-US" w:eastAsia="zh-CN"/>
        </w:rPr>
        <w:t>在</w:t>
      </w:r>
      <w:r>
        <w:rPr>
          <w:rFonts w:hint="default" w:eastAsia="仿宋_GB2312"/>
          <w:bCs/>
          <w:sz w:val="32"/>
          <w:szCs w:val="32"/>
          <w:lang w:eastAsia="zh-CN"/>
        </w:rPr>
        <w:t>临潼区绿源热力有限公司厂区</w:t>
      </w:r>
      <w:r>
        <w:rPr>
          <w:rFonts w:hint="eastAsia" w:eastAsia="仿宋_GB2312"/>
          <w:bCs/>
          <w:sz w:val="32"/>
          <w:szCs w:val="32"/>
          <w:lang w:val="en-US" w:eastAsia="zh-CN"/>
        </w:rPr>
        <w:t>内新建1座能源站，在秦汉大道东段南路绿化带处新钻地热井12口（5采7灌），敷设管线4000m，日取水量9600m</w:t>
      </w:r>
      <w:r>
        <w:rPr>
          <w:rFonts w:hint="eastAsia" w:eastAsia="仿宋_GB2312"/>
          <w:bCs/>
          <w:sz w:val="32"/>
          <w:szCs w:val="32"/>
          <w:vertAlign w:val="superscript"/>
          <w:lang w:val="en-US" w:eastAsia="zh-CN"/>
        </w:rPr>
        <w:t>3</w:t>
      </w:r>
      <w:r>
        <w:rPr>
          <w:rFonts w:hint="eastAsia" w:eastAsia="仿宋_GB2312"/>
          <w:bCs/>
          <w:sz w:val="32"/>
          <w:szCs w:val="32"/>
          <w:vertAlign w:val="baseline"/>
          <w:lang w:val="en-US" w:eastAsia="zh-CN"/>
        </w:rPr>
        <w:t>，年取水量116.16万m</w:t>
      </w:r>
      <w:r>
        <w:rPr>
          <w:rFonts w:hint="eastAsia" w:eastAsia="仿宋_GB2312"/>
          <w:bCs/>
          <w:sz w:val="32"/>
          <w:szCs w:val="32"/>
          <w:vertAlign w:val="superscript"/>
          <w:lang w:val="en-US" w:eastAsia="zh-CN"/>
        </w:rPr>
        <w:t>3</w:t>
      </w:r>
      <w:r>
        <w:rPr>
          <w:rFonts w:hint="eastAsia" w:eastAsia="仿宋_GB2312"/>
          <w:bCs/>
          <w:sz w:val="32"/>
          <w:szCs w:val="32"/>
          <w:vertAlign w:val="baseline"/>
          <w:lang w:val="en-US" w:eastAsia="zh-CN"/>
        </w:rPr>
        <w:t>，</w:t>
      </w:r>
      <w:r>
        <w:rPr>
          <w:rFonts w:hint="default" w:eastAsia="仿宋_GB2312"/>
          <w:bCs/>
          <w:sz w:val="32"/>
          <w:szCs w:val="32"/>
        </w:rPr>
        <w:t>项目总投资</w:t>
      </w:r>
      <w:r>
        <w:rPr>
          <w:rFonts w:hint="eastAsia" w:eastAsia="仿宋_GB2312"/>
          <w:bCs/>
          <w:sz w:val="32"/>
          <w:szCs w:val="32"/>
          <w:lang w:val="en-US" w:eastAsia="zh-CN"/>
        </w:rPr>
        <w:t>11300</w:t>
      </w:r>
      <w:r>
        <w:rPr>
          <w:rFonts w:hint="default" w:eastAsia="仿宋_GB2312"/>
          <w:bCs/>
          <w:sz w:val="32"/>
          <w:szCs w:val="32"/>
        </w:rPr>
        <w:t>万元，其中环保投资</w:t>
      </w:r>
      <w:r>
        <w:rPr>
          <w:rFonts w:hint="eastAsia" w:eastAsia="仿宋_GB2312"/>
          <w:bCs/>
          <w:sz w:val="32"/>
          <w:szCs w:val="32"/>
          <w:lang w:val="en-US" w:eastAsia="zh-CN"/>
        </w:rPr>
        <w:t>505</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w:t>
      </w:r>
      <w:r>
        <w:rPr>
          <w:rFonts w:hint="eastAsia" w:eastAsia="仿宋_GB2312"/>
          <w:bCs/>
          <w:sz w:val="32"/>
          <w:szCs w:val="32"/>
          <w:lang w:val="en-US" w:eastAsia="zh-CN"/>
        </w:rPr>
        <w:t>生态保护和</w:t>
      </w:r>
      <w:r>
        <w:rPr>
          <w:rFonts w:hint="default" w:eastAsia="仿宋_GB2312"/>
          <w:bCs/>
          <w:sz w:val="32"/>
          <w:szCs w:val="32"/>
        </w:rPr>
        <w:t>污染防治措施后，</w:t>
      </w:r>
      <w:r>
        <w:rPr>
          <w:rFonts w:hint="eastAsia" w:eastAsia="仿宋_GB2312"/>
          <w:bCs/>
          <w:sz w:val="32"/>
          <w:szCs w:val="32"/>
          <w:lang w:val="en-US" w:eastAsia="zh-CN"/>
        </w:rPr>
        <w:t>工程建设</w:t>
      </w:r>
      <w:r>
        <w:rPr>
          <w:rFonts w:hint="default" w:eastAsia="仿宋_GB2312"/>
          <w:bCs/>
          <w:sz w:val="32"/>
          <w:szCs w:val="32"/>
        </w:rPr>
        <w:t>对环境的不利影响能够得到有效缓解和控制。</w:t>
      </w:r>
      <w:r>
        <w:rPr>
          <w:rFonts w:eastAsia="仿宋_GB2312"/>
          <w:bCs/>
          <w:sz w:val="32"/>
          <w:szCs w:val="32"/>
        </w:rPr>
        <w:t>我局</w:t>
      </w:r>
      <w:r>
        <w:rPr>
          <w:rFonts w:hint="eastAsia" w:eastAsia="仿宋_GB2312"/>
          <w:bCs/>
          <w:sz w:val="32"/>
          <w:szCs w:val="32"/>
          <w:lang w:val="en-US" w:eastAsia="zh-CN"/>
        </w:rPr>
        <w:t>原则</w:t>
      </w:r>
      <w:r>
        <w:rPr>
          <w:rFonts w:eastAsia="仿宋_GB2312"/>
          <w:bCs/>
          <w:sz w:val="32"/>
          <w:szCs w:val="32"/>
        </w:rPr>
        <w:t>同意该项目的环境影响评价总体结论和各项</w:t>
      </w:r>
      <w:r>
        <w:rPr>
          <w:rFonts w:hint="eastAsia" w:eastAsia="仿宋_GB2312"/>
          <w:bCs/>
          <w:sz w:val="32"/>
          <w:szCs w:val="32"/>
          <w:lang w:val="en-US" w:eastAsia="zh-CN"/>
        </w:rPr>
        <w:t>生态</w:t>
      </w:r>
      <w:r>
        <w:rPr>
          <w:rFonts w:eastAsia="仿宋_GB2312"/>
          <w:bCs/>
          <w:sz w:val="32"/>
          <w:szCs w:val="32"/>
        </w:rPr>
        <w:t>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w:t>
      </w:r>
      <w:r>
        <w:rPr>
          <w:rFonts w:hint="eastAsia" w:eastAsia="仿宋_GB2312"/>
          <w:bCs/>
          <w:sz w:val="32"/>
          <w:szCs w:val="32"/>
          <w:lang w:val="en-US" w:eastAsia="zh-CN"/>
        </w:rPr>
        <w:t>工程建设和</w:t>
      </w:r>
      <w:r>
        <w:rPr>
          <w:rFonts w:hint="default" w:eastAsia="仿宋_GB2312"/>
          <w:bCs/>
          <w:sz w:val="32"/>
          <w:szCs w:val="32"/>
        </w:rPr>
        <w:t>项目运行中应重点做好以下工作：</w:t>
      </w:r>
    </w:p>
    <w:p w14:paraId="5BAA5E5C">
      <w:pPr>
        <w:tabs>
          <w:tab w:val="left" w:pos="5245"/>
        </w:tabs>
        <w:spacing w:line="560" w:lineRule="exact"/>
        <w:ind w:firstLine="640" w:firstLineChars="200"/>
        <w:rPr>
          <w:rFonts w:hint="eastAsia" w:eastAsia="仿宋_GB2312"/>
          <w:bCs/>
          <w:sz w:val="32"/>
          <w:szCs w:val="32"/>
          <w:lang w:val="en-US" w:eastAsia="zh-CN"/>
        </w:rPr>
      </w:pPr>
      <w:r>
        <w:rPr>
          <w:rFonts w:hint="eastAsia" w:eastAsia="仿宋_GB2312"/>
          <w:bCs/>
          <w:sz w:val="32"/>
          <w:szCs w:val="32"/>
          <w:lang w:eastAsia="zh-CN"/>
        </w:rPr>
        <w:t>（</w:t>
      </w:r>
      <w:r>
        <w:rPr>
          <w:rFonts w:hint="default" w:eastAsia="仿宋_GB2312"/>
          <w:bCs/>
          <w:sz w:val="32"/>
          <w:szCs w:val="32"/>
        </w:rPr>
        <w:t>一</w:t>
      </w:r>
      <w:r>
        <w:rPr>
          <w:rFonts w:hint="eastAsia" w:eastAsia="仿宋_GB2312"/>
          <w:bCs/>
          <w:sz w:val="32"/>
          <w:szCs w:val="32"/>
          <w:lang w:eastAsia="zh-CN"/>
        </w:rPr>
        <w:t>）</w:t>
      </w:r>
      <w:r>
        <w:rPr>
          <w:rFonts w:hint="default" w:eastAsia="仿宋_GB2312"/>
          <w:bCs/>
          <w:sz w:val="32"/>
          <w:szCs w:val="32"/>
        </w:rPr>
        <w:t>加强生态环境保护措施。施工期应避免在大风时段以及多雨时段进行作业</w:t>
      </w:r>
      <w:r>
        <w:rPr>
          <w:rFonts w:hint="eastAsia" w:eastAsia="仿宋_GB2312"/>
          <w:bCs/>
          <w:sz w:val="32"/>
          <w:szCs w:val="32"/>
          <w:lang w:eastAsia="zh-CN"/>
        </w:rPr>
        <w:t>，</w:t>
      </w:r>
      <w:r>
        <w:rPr>
          <w:rFonts w:hint="default" w:eastAsia="仿宋_GB2312"/>
          <w:bCs/>
          <w:sz w:val="32"/>
          <w:szCs w:val="32"/>
          <w:lang w:eastAsia="zh-CN"/>
        </w:rPr>
        <w:t>管道开挖产生的弃土在管道两侧</w:t>
      </w:r>
      <w:r>
        <w:rPr>
          <w:rFonts w:hint="default" w:eastAsia="仿宋_GB2312"/>
          <w:bCs/>
          <w:sz w:val="32"/>
          <w:szCs w:val="32"/>
        </w:rPr>
        <w:t>堆放，以密目网覆盖，及时回填</w:t>
      </w:r>
      <w:r>
        <w:rPr>
          <w:rFonts w:hint="eastAsia" w:eastAsia="仿宋_GB2312"/>
          <w:bCs/>
          <w:sz w:val="32"/>
          <w:szCs w:val="32"/>
          <w:lang w:val="en-US" w:eastAsia="zh-CN"/>
        </w:rPr>
        <w:t>。</w:t>
      </w:r>
    </w:p>
    <w:p w14:paraId="780E7143">
      <w:pPr>
        <w:spacing w:line="560" w:lineRule="exact"/>
        <w:ind w:firstLine="640" w:firstLineChars="200"/>
        <w:rPr>
          <w:rFonts w:hint="eastAsia" w:ascii="Times New Roman" w:hAnsi="Times New Roman" w:eastAsia="仿宋_GB2312" w:cs="Times New Roman"/>
          <w:bCs/>
          <w:sz w:val="32"/>
          <w:szCs w:val="32"/>
          <w:lang w:eastAsia="zh-CN"/>
        </w:rPr>
      </w:pPr>
      <w:r>
        <w:rPr>
          <w:rFonts w:hint="default" w:eastAsia="仿宋_GB2312"/>
          <w:bCs/>
          <w:sz w:val="32"/>
          <w:szCs w:val="32"/>
        </w:rPr>
        <w:t>（</w:t>
      </w:r>
      <w:r>
        <w:rPr>
          <w:rFonts w:hint="eastAsia" w:eastAsia="仿宋_GB2312"/>
          <w:bCs/>
          <w:sz w:val="32"/>
          <w:szCs w:val="32"/>
          <w:lang w:val="en-US" w:eastAsia="zh-CN"/>
        </w:rPr>
        <w:t>二</w:t>
      </w:r>
      <w:r>
        <w:rPr>
          <w:rFonts w:hint="default" w:eastAsia="仿宋_GB2312"/>
          <w:bCs/>
          <w:sz w:val="32"/>
          <w:szCs w:val="32"/>
        </w:rPr>
        <w:t>）严格落实大气污染防治措施。施工期</w:t>
      </w:r>
      <w:r>
        <w:rPr>
          <w:rFonts w:hint="default" w:eastAsia="仿宋_GB2312"/>
          <w:bCs/>
          <w:sz w:val="32"/>
          <w:szCs w:val="32"/>
          <w:lang w:eastAsia="zh-CN"/>
        </w:rPr>
        <w:t>制定专项方案，设施工工地标志牌，设围挡，临时土方覆盖并及时清理，大风天气停止作业</w:t>
      </w:r>
      <w:r>
        <w:rPr>
          <w:rFonts w:hint="default" w:eastAsia="仿宋_GB2312"/>
          <w:bCs/>
          <w:sz w:val="32"/>
          <w:szCs w:val="32"/>
        </w:rPr>
        <w:t>；应使用</w:t>
      </w:r>
      <w:r>
        <w:rPr>
          <w:rFonts w:hint="eastAsia" w:eastAsia="仿宋_GB2312"/>
          <w:bCs/>
          <w:sz w:val="32"/>
          <w:szCs w:val="32"/>
          <w:lang w:val="en-US" w:eastAsia="zh-CN"/>
        </w:rPr>
        <w:t>符合</w:t>
      </w:r>
      <w:r>
        <w:rPr>
          <w:rFonts w:hint="default" w:eastAsia="仿宋_GB2312"/>
          <w:bCs/>
          <w:sz w:val="32"/>
          <w:szCs w:val="32"/>
        </w:rPr>
        <w:t>相应标准的非道路移动工程机械，确保施工机械尾气达标排放。</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w:t>
      </w:r>
      <w:r>
        <w:rPr>
          <w:rFonts w:hint="eastAsia" w:eastAsia="仿宋_GB2312"/>
          <w:bCs/>
          <w:sz w:val="32"/>
          <w:szCs w:val="32"/>
          <w:lang w:val="en-US" w:eastAsia="zh-CN"/>
        </w:rPr>
        <w:t>三</w:t>
      </w:r>
      <w:r>
        <w:rPr>
          <w:rFonts w:hint="default" w:eastAsia="仿宋_GB2312"/>
          <w:bCs/>
          <w:sz w:val="32"/>
          <w:szCs w:val="32"/>
        </w:rPr>
        <w:t>）严格落实水污染防治措施。</w:t>
      </w:r>
      <w:r>
        <w:rPr>
          <w:rFonts w:hint="eastAsia" w:eastAsia="仿宋_GB2312"/>
          <w:bCs/>
          <w:sz w:val="32"/>
          <w:szCs w:val="32"/>
          <w:lang w:val="en-US" w:eastAsia="zh-CN"/>
        </w:rPr>
        <w:t>施工期钻井废水排入井场防渗泥浆罐中用于配制泥浆，循环使用；抽水试验废水满足排放标准后排入临潼新区污水处理厂；管道试压水用于场地及周边道路绿化降尘洒水。施工人员生活污水依托周边公共卫生间收集后排放。运营期换热尾水经回灌设备处理后全部同层回灌。</w:t>
      </w:r>
    </w:p>
    <w:p w14:paraId="1E230259">
      <w:pPr>
        <w:tabs>
          <w:tab w:val="left" w:pos="5245"/>
        </w:tabs>
        <w:spacing w:line="560" w:lineRule="exact"/>
        <w:ind w:firstLine="640" w:firstLineChars="200"/>
        <w:rPr>
          <w:rFonts w:hint="default" w:eastAsia="仿宋_GB2312"/>
          <w:bCs/>
          <w:sz w:val="32"/>
          <w:szCs w:val="32"/>
          <w:lang w:val="en-US"/>
        </w:rPr>
      </w:pPr>
      <w:r>
        <w:rPr>
          <w:rFonts w:hint="default" w:eastAsia="仿宋_GB2312"/>
          <w:bCs/>
          <w:sz w:val="32"/>
          <w:szCs w:val="32"/>
        </w:rPr>
        <w:t>（三）</w:t>
      </w:r>
      <w:r>
        <w:rPr>
          <w:rFonts w:hint="default" w:eastAsia="仿宋_GB2312"/>
          <w:sz w:val="32"/>
          <w:szCs w:val="32"/>
        </w:rPr>
        <w:t>优化厂区平面布置</w:t>
      </w:r>
      <w:r>
        <w:rPr>
          <w:rFonts w:hint="eastAsia" w:eastAsia="仿宋_GB2312"/>
          <w:sz w:val="32"/>
          <w:szCs w:val="32"/>
          <w:lang w:eastAsia="zh-CN"/>
        </w:rPr>
        <w:t>。</w:t>
      </w:r>
      <w:r>
        <w:rPr>
          <w:rFonts w:hint="eastAsia" w:eastAsia="仿宋_GB2312"/>
          <w:sz w:val="32"/>
          <w:szCs w:val="32"/>
          <w:lang w:val="en-US" w:eastAsia="zh-CN"/>
        </w:rPr>
        <w:t>施工期合理布局、尽量远离居民区；优先选择液压驱动、平衡性好的钻机，对固定设备底座加装橡胶隔振垫或弹簧减振器，动力设备采用隔音棚进行围挡，井场南侧搭建隔音墙，并设置减振沟，加强设备维护保养。夜间施工需取得相关手续。运营期选用低噪声设备，泵体软连接，站内放置。</w:t>
      </w:r>
    </w:p>
    <w:p w14:paraId="29C5513C">
      <w:pPr>
        <w:widowControl/>
        <w:adjustRightInd w:val="0"/>
        <w:snapToGrid w:val="0"/>
        <w:spacing w:line="560" w:lineRule="exact"/>
        <w:ind w:firstLine="640" w:firstLineChars="200"/>
        <w:rPr>
          <w:rFonts w:hint="eastAsia" w:eastAsia="仿宋_GB2312"/>
          <w:bCs/>
          <w:sz w:val="32"/>
          <w:szCs w:val="32"/>
          <w:lang w:eastAsia="zh-CN"/>
        </w:rPr>
      </w:pPr>
      <w:r>
        <w:rPr>
          <w:rFonts w:hint="default" w:eastAsia="仿宋_GB2312"/>
          <w:bCs/>
          <w:sz w:val="32"/>
          <w:szCs w:val="32"/>
        </w:rPr>
        <w:t>（四）合规处置各类固体废物。</w:t>
      </w:r>
      <w:r>
        <w:rPr>
          <w:rFonts w:hint="eastAsia" w:eastAsia="仿宋_GB2312"/>
          <w:bCs/>
          <w:sz w:val="32"/>
          <w:szCs w:val="32"/>
          <w:lang w:val="en-US" w:eastAsia="zh-CN"/>
        </w:rPr>
        <w:t>施工</w:t>
      </w:r>
      <w:r>
        <w:rPr>
          <w:rFonts w:hint="default" w:eastAsia="仿宋_GB2312"/>
          <w:bCs/>
          <w:sz w:val="32"/>
          <w:szCs w:val="32"/>
          <w:lang w:val="en-US" w:eastAsia="zh-CN"/>
        </w:rPr>
        <w:t>建筑垃圾经收集后运至建筑垃圾填埋场处理</w:t>
      </w:r>
      <w:r>
        <w:rPr>
          <w:rFonts w:hint="default" w:eastAsia="仿宋_GB2312"/>
          <w:bCs/>
          <w:sz w:val="32"/>
          <w:szCs w:val="32"/>
        </w:rPr>
        <w:t>；弃土</w:t>
      </w:r>
      <w:r>
        <w:rPr>
          <w:rFonts w:hint="default" w:eastAsia="仿宋_GB2312"/>
          <w:bCs/>
          <w:sz w:val="32"/>
          <w:szCs w:val="32"/>
          <w:lang w:eastAsia="zh-CN"/>
        </w:rPr>
        <w:t>用于周边场地平整</w:t>
      </w:r>
      <w:r>
        <w:rPr>
          <w:rFonts w:hint="eastAsia" w:eastAsia="仿宋_GB2312"/>
          <w:bCs/>
          <w:sz w:val="32"/>
          <w:szCs w:val="32"/>
          <w:lang w:eastAsia="zh-CN"/>
        </w:rPr>
        <w:t>；</w:t>
      </w:r>
      <w:r>
        <w:rPr>
          <w:rFonts w:hint="default" w:eastAsia="仿宋_GB2312"/>
          <w:bCs/>
          <w:sz w:val="32"/>
          <w:szCs w:val="32"/>
          <w:lang w:eastAsia="zh-CN"/>
        </w:rPr>
        <w:t>废弃钻井泥浆经井场防渗泥浆罐收集</w:t>
      </w:r>
      <w:r>
        <w:rPr>
          <w:rFonts w:hint="default" w:eastAsia="仿宋_GB2312"/>
          <w:bCs/>
          <w:sz w:val="32"/>
          <w:szCs w:val="32"/>
          <w:lang w:val="en-US" w:eastAsia="zh-CN"/>
        </w:rPr>
        <w:t>后</w:t>
      </w:r>
      <w:r>
        <w:rPr>
          <w:rFonts w:hint="eastAsia" w:eastAsia="仿宋_GB2312"/>
          <w:bCs/>
          <w:sz w:val="32"/>
          <w:szCs w:val="32"/>
          <w:lang w:val="en-US" w:eastAsia="zh-CN"/>
        </w:rPr>
        <w:t>与钻井岩屑</w:t>
      </w:r>
      <w:r>
        <w:rPr>
          <w:rFonts w:hint="default" w:eastAsia="仿宋_GB2312"/>
          <w:bCs/>
          <w:sz w:val="32"/>
          <w:szCs w:val="32"/>
          <w:lang w:val="en-US" w:eastAsia="zh-CN"/>
        </w:rPr>
        <w:t>委托有处理能力的公司综合利用</w:t>
      </w:r>
      <w:r>
        <w:rPr>
          <w:rFonts w:hint="eastAsia" w:eastAsia="仿宋_GB2312"/>
          <w:bCs/>
          <w:sz w:val="32"/>
          <w:szCs w:val="32"/>
          <w:lang w:val="en-US" w:eastAsia="zh-CN"/>
        </w:rPr>
        <w:t>。生活垃圾交环卫部门清运处置；危险废物暂存于危险废物贮存点，采用专用容器收集后委托有资质单位处置；</w:t>
      </w:r>
      <w:r>
        <w:rPr>
          <w:rFonts w:hint="eastAsia" w:eastAsia="仿宋_GB2312"/>
          <w:bCs/>
          <w:sz w:val="32"/>
          <w:szCs w:val="32"/>
          <w:lang w:eastAsia="zh-CN"/>
        </w:rPr>
        <w:t>旋流除砂器废砂</w:t>
      </w:r>
      <w:r>
        <w:rPr>
          <w:rFonts w:hint="eastAsia" w:eastAsia="仿宋_GB2312"/>
          <w:bCs/>
          <w:sz w:val="32"/>
          <w:szCs w:val="32"/>
          <w:lang w:val="en-US" w:eastAsia="zh-CN"/>
        </w:rPr>
        <w:t>定期清理，外售综合利用；</w:t>
      </w:r>
      <w:r>
        <w:rPr>
          <w:rFonts w:hint="eastAsia" w:eastAsia="仿宋_GB2312"/>
          <w:bCs/>
          <w:sz w:val="32"/>
          <w:szCs w:val="32"/>
          <w:lang w:eastAsia="zh-CN"/>
        </w:rPr>
        <w:t>过滤器废滤芯交由</w:t>
      </w:r>
      <w:r>
        <w:rPr>
          <w:rFonts w:hint="eastAsia" w:eastAsia="仿宋_GB2312"/>
          <w:bCs/>
          <w:sz w:val="32"/>
          <w:szCs w:val="32"/>
          <w:lang w:val="en-US" w:eastAsia="zh-CN"/>
        </w:rPr>
        <w:t>厂家回收。</w:t>
      </w:r>
    </w:p>
    <w:p w14:paraId="1785D749">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（五）增强环境风险防范意识。严格落实环境风险防范措施，</w:t>
      </w:r>
      <w:r>
        <w:rPr>
          <w:rFonts w:hint="eastAsia" w:eastAsia="仿宋_GB2312"/>
          <w:bCs/>
          <w:sz w:val="32"/>
          <w:szCs w:val="32"/>
          <w:lang w:val="en-US" w:eastAsia="zh-CN"/>
        </w:rPr>
        <w:t>开工前</w:t>
      </w:r>
      <w:r>
        <w:rPr>
          <w:rFonts w:hint="eastAsia" w:eastAsia="仿宋_GB2312"/>
          <w:bCs/>
          <w:sz w:val="32"/>
          <w:szCs w:val="32"/>
        </w:rPr>
        <w:t>按要求编制环境风险应急预案，报我局备案。</w:t>
      </w:r>
    </w:p>
    <w:p w14:paraId="6464D4EA">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w:t>
      </w:r>
      <w:r>
        <w:rPr>
          <w:rFonts w:hint="eastAsia" w:eastAsia="仿宋_GB2312"/>
          <w:bCs/>
          <w:sz w:val="32"/>
          <w:szCs w:val="32"/>
          <w:lang w:eastAsia="zh-CN"/>
        </w:rPr>
        <w:t>，</w:t>
      </w:r>
      <w:r>
        <w:rPr>
          <w:rFonts w:hint="eastAsia" w:eastAsia="仿宋_GB2312"/>
          <w:bCs/>
          <w:sz w:val="32"/>
          <w:szCs w:val="32"/>
          <w:lang w:val="en-US" w:eastAsia="zh-CN"/>
        </w:rPr>
        <w:t>落实各项环境保护措施</w:t>
      </w:r>
      <w:r>
        <w:rPr>
          <w:rFonts w:hint="default" w:eastAsia="仿宋_GB2312"/>
          <w:bCs/>
          <w:sz w:val="32"/>
          <w:szCs w:val="32"/>
        </w:rPr>
        <w:t>。项目建成后应按要求和规定程序办理排污许可手续和开展竣工环境保护验收。</w:t>
      </w:r>
    </w:p>
    <w:p w14:paraId="40F24D06">
      <w:pPr>
        <w:pStyle w:val="5"/>
        <w:adjustRightInd w:val="0"/>
        <w:snapToGrid w:val="0"/>
        <w:spacing w:after="0" w:line="576" w:lineRule="exact"/>
        <w:ind w:firstLine="640" w:firstLineChars="200"/>
        <w:rPr>
          <w:rFonts w:hint="default" w:eastAsia="仿宋_GB2312"/>
          <w:bCs/>
          <w:sz w:val="32"/>
          <w:szCs w:val="32"/>
        </w:rPr>
      </w:pPr>
    </w:p>
    <w:p w14:paraId="4F0662CA">
      <w:pPr>
        <w:pStyle w:val="5"/>
        <w:adjustRightInd w:val="0"/>
        <w:snapToGrid w:val="0"/>
        <w:spacing w:after="0" w:line="576" w:lineRule="exact"/>
        <w:ind w:firstLine="640" w:firstLineChars="200"/>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tbl>
      <w:tblPr>
        <w:tblStyle w:val="6"/>
        <w:tblpPr w:leftFromText="180" w:rightFromText="180" w:vertAnchor="text" w:horzAnchor="page" w:tblpX="1663" w:tblpY="40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45B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603C358F">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西安市生态环境保护综合执法支队临潼大队、咸阳山河环境科技有限公司</w:t>
            </w:r>
          </w:p>
        </w:tc>
      </w:tr>
    </w:tbl>
    <w:p w14:paraId="3883B664">
      <w:pPr>
        <w:spacing w:line="576" w:lineRule="exact"/>
        <w:ind w:firstLine="4960" w:firstLineChars="1550"/>
        <w:jc w:val="left"/>
        <w:rPr>
          <w:rFonts w:hint="default" w:eastAsia="仿宋_GB2312"/>
          <w:bCs/>
          <w:sz w:val="32"/>
          <w:szCs w:val="32"/>
        </w:rPr>
      </w:pPr>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6</w:t>
      </w:r>
      <w:r>
        <w:rPr>
          <w:rFonts w:hint="default" w:eastAsia="仿宋_GB2312"/>
          <w:bCs/>
          <w:sz w:val="32"/>
          <w:szCs w:val="32"/>
        </w:rPr>
        <w:t>年</w:t>
      </w:r>
      <w:r>
        <w:rPr>
          <w:rFonts w:hint="eastAsia" w:eastAsia="仿宋_GB2312"/>
          <w:bCs/>
          <w:sz w:val="32"/>
          <w:szCs w:val="32"/>
          <w:lang w:val="en-US" w:eastAsia="zh-CN"/>
        </w:rPr>
        <w:t>1</w:t>
      </w:r>
      <w:r>
        <w:rPr>
          <w:rFonts w:hint="default" w:eastAsia="仿宋_GB2312"/>
          <w:bCs/>
          <w:sz w:val="32"/>
          <w:szCs w:val="32"/>
        </w:rPr>
        <w:t>月</w:t>
      </w:r>
      <w:r>
        <w:rPr>
          <w:rFonts w:hint="eastAsia" w:eastAsia="仿宋_GB2312"/>
          <w:bCs/>
          <w:sz w:val="32"/>
          <w:szCs w:val="32"/>
          <w:lang w:val="en-US" w:eastAsia="zh-CN"/>
        </w:rPr>
        <w:t>29</w:t>
      </w:r>
      <w:bookmarkStart w:id="0" w:name="_GoBack"/>
      <w:bookmarkEnd w:id="0"/>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F58051A"/>
    <w:rsid w:val="142F698D"/>
    <w:rsid w:val="194D5162"/>
    <w:rsid w:val="20052CBC"/>
    <w:rsid w:val="23457140"/>
    <w:rsid w:val="28851357"/>
    <w:rsid w:val="416C5B3B"/>
    <w:rsid w:val="42B15866"/>
    <w:rsid w:val="4F185A57"/>
    <w:rsid w:val="511E1E07"/>
    <w:rsid w:val="58815B21"/>
    <w:rsid w:val="58FF2F65"/>
    <w:rsid w:val="5A1D1E2D"/>
    <w:rsid w:val="69AE6104"/>
    <w:rsid w:val="71354D38"/>
    <w:rsid w:val="761F2D26"/>
    <w:rsid w:val="79DC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1208</Words>
  <Characters>1242</Characters>
  <Lines>0</Lines>
  <Paragraphs>0</Paragraphs>
  <TotalTime>1</TotalTime>
  <ScaleCrop>false</ScaleCrop>
  <LinksUpToDate>false</LinksUpToDate>
  <CharactersWithSpaces>1273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2025-12-01T02:32:00Z</cp:lastPrinted>
  <dcterms:modified xsi:type="dcterms:W3CDTF">2026-01-29T07:00:22Z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