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AF10">
      <w:pPr>
        <w:spacing w:line="276" w:lineRule="auto"/>
        <w:jc w:val="center"/>
        <w:rPr>
          <w:rFonts w:hint="default" w:eastAsia="仿宋_GB2312"/>
          <w:sz w:val="36"/>
          <w:szCs w:val="36"/>
        </w:rPr>
      </w:pPr>
    </w:p>
    <w:p w14:paraId="49104F11">
      <w:pPr>
        <w:spacing w:line="360" w:lineRule="auto"/>
        <w:jc w:val="center"/>
        <w:rPr>
          <w:rFonts w:hint="default" w:eastAsia="仿宋_GB2312"/>
          <w:sz w:val="36"/>
          <w:szCs w:val="36"/>
          <w:lang w:val="en-US" w:eastAsia="zh-CN"/>
        </w:rPr>
      </w:pPr>
      <w:r>
        <w:rPr>
          <w:rFonts w:hint="eastAsia" w:eastAsia="仿宋_GB2312"/>
          <w:sz w:val="36"/>
          <w:szCs w:val="36"/>
          <w:lang w:val="en-US" w:eastAsia="zh-CN"/>
        </w:rPr>
        <w:t xml:space="preserve">       </w:t>
      </w:r>
    </w:p>
    <w:p w14:paraId="10E58B39">
      <w:pPr>
        <w:snapToGrid w:val="0"/>
        <w:spacing w:afterLines="50" w:line="360" w:lineRule="auto"/>
        <w:jc w:val="center"/>
        <w:rPr>
          <w:rFonts w:hint="default" w:eastAsia="仿宋_GB2312"/>
          <w:sz w:val="44"/>
          <w:szCs w:val="44"/>
        </w:rPr>
      </w:pPr>
    </w:p>
    <w:p w14:paraId="61AB49A6">
      <w:pPr>
        <w:snapToGrid w:val="0"/>
        <w:spacing w:afterLines="50" w:line="300" w:lineRule="auto"/>
        <w:jc w:val="center"/>
        <w:rPr>
          <w:rFonts w:hint="default" w:eastAsia="仿宋_GB2312"/>
          <w:sz w:val="28"/>
          <w:szCs w:val="28"/>
        </w:rPr>
      </w:pPr>
    </w:p>
    <w:p w14:paraId="6BA38915">
      <w:pPr>
        <w:snapToGrid w:val="0"/>
        <w:spacing w:line="240" w:lineRule="atLeast"/>
        <w:jc w:val="center"/>
        <w:rPr>
          <w:rFonts w:hint="default" w:eastAsia="仿宋_GB2312"/>
          <w:szCs w:val="21"/>
        </w:rPr>
      </w:pPr>
      <w:r>
        <w:rPr>
          <w:rFonts w:eastAsia="仿宋_GB2312"/>
          <w:sz w:val="44"/>
          <w:szCs w:val="44"/>
        </w:rPr>
        <w:t xml:space="preserve">                    </w:t>
      </w:r>
      <w:r>
        <w:rPr>
          <w:rFonts w:hint="default" w:eastAsia="仿宋_GB2312"/>
          <w:sz w:val="44"/>
          <w:szCs w:val="44"/>
        </w:rPr>
        <w:t xml:space="preserve"> </w:t>
      </w:r>
      <w:r>
        <w:rPr>
          <w:rFonts w:eastAsia="仿宋_GB2312"/>
          <w:sz w:val="44"/>
          <w:szCs w:val="44"/>
        </w:rPr>
        <w:t xml:space="preserve">  </w:t>
      </w:r>
      <w:r>
        <w:rPr>
          <w:rFonts w:hint="default" w:eastAsia="仿宋_GB2312"/>
          <w:sz w:val="32"/>
          <w:szCs w:val="32"/>
        </w:rPr>
        <w:t>临环评批复〔20</w:t>
      </w:r>
      <w:r>
        <w:rPr>
          <w:rFonts w:eastAsia="仿宋_GB2312"/>
          <w:sz w:val="32"/>
          <w:szCs w:val="32"/>
        </w:rPr>
        <w:t>2</w:t>
      </w:r>
      <w:r>
        <w:rPr>
          <w:rFonts w:hint="eastAsia" w:eastAsia="仿宋_GB2312"/>
          <w:sz w:val="32"/>
          <w:szCs w:val="32"/>
          <w:lang w:val="en-US" w:eastAsia="zh-CN"/>
        </w:rPr>
        <w:t>6</w:t>
      </w:r>
      <w:r>
        <w:rPr>
          <w:rFonts w:hint="default" w:eastAsia="仿宋_GB2312"/>
          <w:sz w:val="32"/>
          <w:szCs w:val="32"/>
        </w:rPr>
        <w:t>〕</w:t>
      </w:r>
      <w:r>
        <w:rPr>
          <w:rFonts w:hint="eastAsia" w:eastAsia="仿宋_GB2312"/>
          <w:sz w:val="32"/>
          <w:szCs w:val="32"/>
          <w:lang w:val="en-US" w:eastAsia="zh-CN"/>
        </w:rPr>
        <w:t>4</w:t>
      </w:r>
      <w:r>
        <w:rPr>
          <w:rFonts w:hint="default" w:eastAsia="仿宋_GB2312"/>
          <w:sz w:val="32"/>
          <w:szCs w:val="32"/>
        </w:rPr>
        <w:t>号</w:t>
      </w:r>
    </w:p>
    <w:p w14:paraId="160ACA95">
      <w:pPr>
        <w:spacing w:line="276" w:lineRule="auto"/>
        <w:jc w:val="center"/>
        <w:rPr>
          <w:rFonts w:hint="default" w:eastAsia="仿宋_GB2312"/>
          <w:szCs w:val="21"/>
        </w:rPr>
      </w:pPr>
    </w:p>
    <w:p w14:paraId="5B3B8783">
      <w:pPr>
        <w:spacing w:line="276" w:lineRule="auto"/>
        <w:jc w:val="center"/>
        <w:rPr>
          <w:rFonts w:hint="default" w:eastAsia="仿宋_GB2312"/>
          <w:szCs w:val="21"/>
        </w:rPr>
      </w:pPr>
    </w:p>
    <w:p w14:paraId="4D0F39BB">
      <w:pPr>
        <w:spacing w:line="240" w:lineRule="atLeast"/>
        <w:jc w:val="center"/>
        <w:rPr>
          <w:rFonts w:hint="default" w:eastAsia="微软简标宋"/>
          <w:sz w:val="44"/>
          <w:szCs w:val="44"/>
        </w:rPr>
      </w:pPr>
      <w:r>
        <w:rPr>
          <w:rFonts w:hint="default" w:eastAsia="微软简标宋"/>
          <w:sz w:val="44"/>
          <w:szCs w:val="44"/>
        </w:rPr>
        <w:t>西安市生态环境局临潼分局</w:t>
      </w:r>
    </w:p>
    <w:p w14:paraId="74A803C1">
      <w:pPr>
        <w:widowControl/>
        <w:jc w:val="center"/>
        <w:rPr>
          <w:rFonts w:hint="default" w:eastAsia="微软简标宋"/>
          <w:spacing w:val="-15"/>
          <w:sz w:val="44"/>
          <w:szCs w:val="44"/>
        </w:rPr>
      </w:pPr>
      <w:r>
        <w:rPr>
          <w:rFonts w:hint="default" w:eastAsia="微软简标宋"/>
          <w:spacing w:val="-15"/>
          <w:sz w:val="44"/>
          <w:szCs w:val="44"/>
        </w:rPr>
        <w:t>关于拓创源年产2万个PE储罐、塑料桶生产项目环境影响报告表的批复</w:t>
      </w:r>
    </w:p>
    <w:p w14:paraId="44809174">
      <w:pPr>
        <w:widowControl/>
        <w:snapToGrid w:val="0"/>
        <w:spacing w:before="120" w:line="276" w:lineRule="auto"/>
        <w:jc w:val="center"/>
        <w:rPr>
          <w:rFonts w:hint="default"/>
          <w:sz w:val="32"/>
          <w:szCs w:val="32"/>
        </w:rPr>
      </w:pPr>
    </w:p>
    <w:p w14:paraId="2710F0BF">
      <w:pPr>
        <w:widowControl/>
        <w:spacing w:line="560" w:lineRule="exact"/>
        <w:rPr>
          <w:rFonts w:hint="default" w:eastAsia="仿宋_GB2312"/>
          <w:bCs/>
          <w:sz w:val="32"/>
          <w:szCs w:val="32"/>
        </w:rPr>
      </w:pPr>
      <w:r>
        <w:rPr>
          <w:rFonts w:hint="default" w:eastAsia="仿宋_GB2312"/>
          <w:bCs/>
          <w:sz w:val="32"/>
          <w:szCs w:val="32"/>
        </w:rPr>
        <w:t>陕西拓创源容器设备有限公司：</w:t>
      </w:r>
    </w:p>
    <w:p w14:paraId="62F1B5FB">
      <w:pPr>
        <w:widowControl/>
        <w:spacing w:line="560" w:lineRule="exact"/>
        <w:ind w:firstLine="640" w:firstLineChars="200"/>
        <w:rPr>
          <w:rFonts w:hint="default" w:eastAsia="仿宋_GB2312"/>
          <w:bCs/>
          <w:sz w:val="32"/>
          <w:szCs w:val="32"/>
        </w:rPr>
      </w:pPr>
      <w:r>
        <w:rPr>
          <w:rFonts w:hint="default" w:eastAsia="仿宋_GB2312"/>
          <w:bCs/>
          <w:sz w:val="32"/>
          <w:szCs w:val="32"/>
        </w:rPr>
        <w:t>你</w:t>
      </w:r>
      <w:r>
        <w:rPr>
          <w:rFonts w:hint="eastAsia" w:eastAsia="仿宋_GB2312"/>
          <w:bCs/>
          <w:sz w:val="32"/>
          <w:szCs w:val="32"/>
          <w:lang w:val="en-US" w:eastAsia="zh-CN"/>
        </w:rPr>
        <w:t>公司</w:t>
      </w:r>
      <w:r>
        <w:rPr>
          <w:rFonts w:hint="default" w:eastAsia="仿宋_GB2312"/>
          <w:bCs/>
          <w:sz w:val="32"/>
          <w:szCs w:val="32"/>
        </w:rPr>
        <w:t>《拓创源年产2万个PE储罐、塑料桶生产项目环境影响报告表》（以下简称《报告表》）收悉，结合西安市环境保护科学研究院对《报告表》的技术评估意见（市评估函〔202</w:t>
      </w:r>
      <w:r>
        <w:rPr>
          <w:rFonts w:hint="eastAsia" w:eastAsia="仿宋_GB2312"/>
          <w:bCs/>
          <w:sz w:val="32"/>
          <w:szCs w:val="32"/>
          <w:lang w:val="en-US" w:eastAsia="zh-CN"/>
        </w:rPr>
        <w:t>5</w:t>
      </w:r>
      <w:r>
        <w:rPr>
          <w:rFonts w:hint="default" w:eastAsia="仿宋_GB2312"/>
          <w:bCs/>
          <w:sz w:val="32"/>
          <w:szCs w:val="32"/>
        </w:rPr>
        <w:t>〕</w:t>
      </w:r>
      <w:r>
        <w:rPr>
          <w:rFonts w:hint="eastAsia" w:eastAsia="仿宋_GB2312"/>
          <w:bCs/>
          <w:sz w:val="32"/>
          <w:szCs w:val="32"/>
          <w:lang w:val="en-US" w:eastAsia="zh-CN"/>
        </w:rPr>
        <w:t>48</w:t>
      </w:r>
      <w:r>
        <w:rPr>
          <w:rFonts w:hint="default" w:eastAsia="仿宋_GB2312"/>
          <w:bCs/>
          <w:sz w:val="32"/>
          <w:szCs w:val="32"/>
        </w:rPr>
        <w:t>号）</w:t>
      </w:r>
      <w:r>
        <w:rPr>
          <w:rFonts w:eastAsia="仿宋_GB2312"/>
          <w:bCs/>
          <w:sz w:val="32"/>
          <w:szCs w:val="32"/>
        </w:rPr>
        <w:t>，</w:t>
      </w:r>
      <w:r>
        <w:rPr>
          <w:rFonts w:hint="default" w:eastAsia="仿宋_GB2312"/>
          <w:bCs/>
          <w:sz w:val="32"/>
          <w:szCs w:val="32"/>
        </w:rPr>
        <w:t>经我局建设项目环评审查委员会审查后，批复如下：</w:t>
      </w:r>
      <w:r>
        <w:rPr>
          <w:rFonts w:eastAsia="仿宋_GB2312"/>
          <w:bCs/>
          <w:sz w:val="32"/>
          <w:szCs w:val="32"/>
        </w:rPr>
        <w:t xml:space="preserve"> </w:t>
      </w:r>
    </w:p>
    <w:p w14:paraId="487C053E">
      <w:pPr>
        <w:widowControl/>
        <w:spacing w:line="560" w:lineRule="exact"/>
        <w:ind w:firstLine="640" w:firstLineChars="200"/>
        <w:rPr>
          <w:rFonts w:hint="default" w:eastAsia="仿宋_GB2312"/>
          <w:bCs/>
          <w:sz w:val="32"/>
          <w:szCs w:val="32"/>
        </w:rPr>
      </w:pPr>
      <w:r>
        <w:rPr>
          <w:rFonts w:hint="default" w:eastAsia="仿宋_GB2312"/>
          <w:bCs/>
          <w:sz w:val="32"/>
          <w:szCs w:val="32"/>
        </w:rPr>
        <w:t>一、项目概况：</w:t>
      </w:r>
      <w:r>
        <w:rPr>
          <w:rFonts w:hint="default" w:eastAsia="仿宋_GB2312"/>
          <w:bCs/>
          <w:sz w:val="32"/>
          <w:szCs w:val="32"/>
          <w:lang w:val="en-US" w:eastAsia="zh-CN"/>
        </w:rPr>
        <w:t>项目</w:t>
      </w:r>
      <w:r>
        <w:rPr>
          <w:rFonts w:hint="eastAsia" w:eastAsia="仿宋_GB2312"/>
          <w:bCs/>
          <w:sz w:val="32"/>
          <w:szCs w:val="32"/>
          <w:lang w:val="en-US" w:eastAsia="zh-CN"/>
        </w:rPr>
        <w:t>租赁</w:t>
      </w:r>
      <w:r>
        <w:rPr>
          <w:rFonts w:hint="default" w:ascii="Times New Roman" w:hAnsi="Times New Roman" w:eastAsia="仿宋_GB2312" w:cs="Times New Roman"/>
          <w:bCs/>
          <w:sz w:val="32"/>
          <w:szCs w:val="32"/>
        </w:rPr>
        <w:t>临潼区油槐街办南张村厂房5000平方米，购置滚塑设备12台，吹塑设备5台，年产容器20000个。使用原料为线性聚乙烯，滚塑加工流程将颗粒状PE料放在模具里加热同时围绕两个垂直轴旋转生产而成。吹塑借助于气体压力使闭合在模具中的热熔型型呸吹胀形成中空制品的方法。产品为PE储罐、塑料桶等塑料容器</w:t>
      </w:r>
      <w:r>
        <w:rPr>
          <w:rFonts w:hint="eastAsia" w:eastAsia="仿宋_GB2312"/>
          <w:bCs/>
          <w:sz w:val="32"/>
          <w:szCs w:val="32"/>
          <w:lang w:val="en-US" w:eastAsia="zh-CN"/>
        </w:rPr>
        <w:t>。</w:t>
      </w:r>
      <w:r>
        <w:rPr>
          <w:rFonts w:hint="default" w:eastAsia="仿宋_GB2312"/>
          <w:bCs/>
          <w:sz w:val="32"/>
          <w:szCs w:val="32"/>
        </w:rPr>
        <w:t>项目总投资</w:t>
      </w:r>
      <w:r>
        <w:rPr>
          <w:rFonts w:hint="eastAsia" w:eastAsia="仿宋_GB2312"/>
          <w:bCs/>
          <w:sz w:val="32"/>
          <w:szCs w:val="32"/>
          <w:lang w:val="en-US" w:eastAsia="zh-CN"/>
        </w:rPr>
        <w:t>350</w:t>
      </w:r>
      <w:r>
        <w:rPr>
          <w:rFonts w:hint="default" w:eastAsia="仿宋_GB2312"/>
          <w:bCs/>
          <w:sz w:val="32"/>
          <w:szCs w:val="32"/>
        </w:rPr>
        <w:t>万元，其中环保投资</w:t>
      </w:r>
      <w:r>
        <w:rPr>
          <w:rFonts w:hint="eastAsia" w:eastAsia="仿宋_GB2312"/>
          <w:bCs/>
          <w:sz w:val="32"/>
          <w:szCs w:val="32"/>
          <w:lang w:val="en-US" w:eastAsia="zh-CN"/>
        </w:rPr>
        <w:t>35</w:t>
      </w:r>
      <w:r>
        <w:rPr>
          <w:rFonts w:hint="default" w:eastAsia="仿宋_GB2312"/>
          <w:bCs/>
          <w:sz w:val="32"/>
          <w:szCs w:val="32"/>
        </w:rPr>
        <w:t>万元。</w:t>
      </w:r>
    </w:p>
    <w:p w14:paraId="289B71D8">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二、经审查，项目在采取《报告表》所列的各项污染防治措施后，对环境的不利影响能够得到有效缓解和控制。</w:t>
      </w:r>
      <w:r>
        <w:rPr>
          <w:rFonts w:eastAsia="仿宋_GB2312"/>
          <w:bCs/>
          <w:sz w:val="32"/>
          <w:szCs w:val="32"/>
        </w:rPr>
        <w:t>我局同意该项目的环境影响评价总体结论和各项环境保护措施。</w:t>
      </w:r>
    </w:p>
    <w:p w14:paraId="1A3FC7DF">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三、项目运行中应重点做好以下工作：</w:t>
      </w:r>
    </w:p>
    <w:p w14:paraId="780E7143">
      <w:pPr>
        <w:spacing w:line="560" w:lineRule="exact"/>
        <w:ind w:firstLine="640" w:firstLineChars="200"/>
        <w:rPr>
          <w:rFonts w:hint="default" w:ascii="Times New Roman" w:hAnsi="Times New Roman" w:eastAsia="仿宋_GB2312" w:cs="Times New Roman"/>
          <w:bCs/>
          <w:sz w:val="32"/>
          <w:szCs w:val="32"/>
          <w:lang w:val="en-US" w:eastAsia="zh-CN"/>
        </w:rPr>
      </w:pPr>
      <w:r>
        <w:rPr>
          <w:rFonts w:hint="default" w:eastAsia="仿宋_GB2312"/>
          <w:bCs/>
          <w:sz w:val="32"/>
          <w:szCs w:val="32"/>
        </w:rPr>
        <w:t>（一）严格落实大气污染防治措施。有机废气</w:t>
      </w:r>
      <w:r>
        <w:rPr>
          <w:rFonts w:hint="eastAsia" w:eastAsia="仿宋_GB2312"/>
          <w:bCs/>
          <w:sz w:val="32"/>
          <w:szCs w:val="32"/>
          <w:lang w:eastAsia="zh-CN"/>
        </w:rPr>
        <w:t>、</w:t>
      </w:r>
      <w:r>
        <w:rPr>
          <w:rFonts w:hint="default" w:eastAsia="仿宋_GB2312"/>
          <w:bCs/>
          <w:sz w:val="32"/>
          <w:szCs w:val="32"/>
        </w:rPr>
        <w:t>天然气燃烧废气</w:t>
      </w:r>
      <w:r>
        <w:rPr>
          <w:rFonts w:hint="default" w:eastAsia="仿宋_GB2312"/>
          <w:bCs/>
          <w:sz w:val="32"/>
          <w:szCs w:val="32"/>
          <w:lang w:val="en-US" w:eastAsia="zh-CN"/>
        </w:rPr>
        <w:t>密闭负压车间</w:t>
      </w:r>
      <w:r>
        <w:rPr>
          <w:rFonts w:hint="eastAsia" w:eastAsia="仿宋_GB2312"/>
          <w:bCs/>
          <w:sz w:val="32"/>
          <w:szCs w:val="32"/>
          <w:lang w:val="en-US" w:eastAsia="zh-CN"/>
        </w:rPr>
        <w:t>收集</w:t>
      </w:r>
      <w:r>
        <w:rPr>
          <w:rFonts w:hint="default" w:eastAsia="仿宋_GB2312"/>
          <w:bCs/>
          <w:sz w:val="32"/>
          <w:szCs w:val="32"/>
        </w:rPr>
        <w:t>后经二级活性炭吸附装置处理通过1根15m高</w:t>
      </w:r>
      <w:r>
        <w:rPr>
          <w:rFonts w:hint="eastAsia" w:eastAsia="仿宋_GB2312"/>
          <w:bCs/>
          <w:sz w:val="32"/>
          <w:szCs w:val="32"/>
          <w:lang w:eastAsia="zh-CN"/>
        </w:rPr>
        <w:t>（</w:t>
      </w:r>
      <w:r>
        <w:rPr>
          <w:rFonts w:hint="default" w:eastAsia="仿宋_GB2312"/>
          <w:bCs/>
          <w:sz w:val="32"/>
          <w:szCs w:val="32"/>
        </w:rPr>
        <w:t>DA001</w:t>
      </w:r>
      <w:r>
        <w:rPr>
          <w:rFonts w:hint="eastAsia" w:eastAsia="仿宋_GB2312"/>
          <w:bCs/>
          <w:sz w:val="32"/>
          <w:szCs w:val="32"/>
          <w:lang w:eastAsia="zh-CN"/>
        </w:rPr>
        <w:t>）</w:t>
      </w:r>
      <w:r>
        <w:rPr>
          <w:rFonts w:hint="default" w:eastAsia="仿宋_GB2312"/>
          <w:bCs/>
          <w:sz w:val="32"/>
          <w:szCs w:val="32"/>
        </w:rPr>
        <w:t>排气筒排放</w:t>
      </w:r>
      <w:r>
        <w:rPr>
          <w:rFonts w:hint="eastAsia" w:eastAsia="仿宋_GB2312" w:cs="Times New Roman"/>
          <w:bCs/>
          <w:sz w:val="32"/>
          <w:szCs w:val="32"/>
          <w:lang w:val="en-US" w:eastAsia="zh-CN"/>
        </w:rPr>
        <w:t>。</w:t>
      </w:r>
      <w:bookmarkStart w:id="0" w:name="_GoBack"/>
      <w:bookmarkEnd w:id="0"/>
    </w:p>
    <w:p w14:paraId="6C3802D7">
      <w:pPr>
        <w:spacing w:line="560" w:lineRule="exact"/>
        <w:ind w:firstLine="640" w:firstLineChars="200"/>
        <w:rPr>
          <w:rFonts w:hint="default" w:eastAsia="仿宋_GB2312"/>
          <w:bCs/>
          <w:sz w:val="32"/>
          <w:szCs w:val="32"/>
          <w:lang w:val="en-US" w:eastAsia="zh-CN"/>
        </w:rPr>
      </w:pPr>
      <w:r>
        <w:rPr>
          <w:rFonts w:hint="default" w:eastAsia="仿宋_GB2312"/>
          <w:bCs/>
          <w:sz w:val="32"/>
          <w:szCs w:val="32"/>
        </w:rPr>
        <w:t>（二）严格落实水污染防治措施。生活污水依托厂区化粪池处理后定期清掏肥田</w:t>
      </w:r>
      <w:r>
        <w:rPr>
          <w:rFonts w:hint="eastAsia" w:eastAsia="仿宋_GB2312"/>
          <w:bCs/>
          <w:sz w:val="32"/>
          <w:szCs w:val="32"/>
          <w:lang w:val="en-US" w:eastAsia="zh-CN"/>
        </w:rPr>
        <w:t>。</w:t>
      </w:r>
    </w:p>
    <w:p w14:paraId="1E230259">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w:t>
      </w:r>
      <w:r>
        <w:rPr>
          <w:rFonts w:hint="default" w:eastAsia="仿宋_GB2312"/>
          <w:sz w:val="32"/>
          <w:szCs w:val="32"/>
        </w:rPr>
        <w:t>优化厂区平面布置</w:t>
      </w:r>
      <w:r>
        <w:rPr>
          <w:rFonts w:hint="eastAsia" w:eastAsia="仿宋_GB2312"/>
          <w:sz w:val="32"/>
          <w:szCs w:val="32"/>
          <w:lang w:eastAsia="zh-CN"/>
        </w:rPr>
        <w:t>。采取选用低噪声设备、</w:t>
      </w:r>
      <w:r>
        <w:rPr>
          <w:rFonts w:hint="eastAsia" w:eastAsia="仿宋_GB2312"/>
          <w:sz w:val="32"/>
          <w:szCs w:val="32"/>
          <w:lang w:val="en-US" w:eastAsia="zh-CN"/>
        </w:rPr>
        <w:t>基础减震、</w:t>
      </w:r>
      <w:r>
        <w:rPr>
          <w:rFonts w:hint="eastAsia" w:eastAsia="仿宋_GB2312"/>
          <w:sz w:val="32"/>
          <w:szCs w:val="32"/>
          <w:lang w:eastAsia="zh-CN"/>
        </w:rPr>
        <w:t>合理布局</w:t>
      </w:r>
      <w:r>
        <w:rPr>
          <w:rFonts w:hint="eastAsia" w:eastAsia="仿宋_GB2312"/>
          <w:sz w:val="32"/>
          <w:szCs w:val="32"/>
          <w:lang w:val="en-US" w:eastAsia="zh-CN"/>
        </w:rPr>
        <w:t>、厂房隔声、距离衰减</w:t>
      </w:r>
      <w:r>
        <w:rPr>
          <w:rFonts w:hint="eastAsia" w:eastAsia="仿宋_GB2312"/>
          <w:sz w:val="32"/>
          <w:szCs w:val="32"/>
          <w:lang w:eastAsia="zh-CN"/>
        </w:rPr>
        <w:t>等降噪措施</w:t>
      </w:r>
      <w:r>
        <w:rPr>
          <w:rFonts w:hint="eastAsia" w:eastAsia="仿宋_GB2312"/>
          <w:sz w:val="32"/>
          <w:szCs w:val="32"/>
          <w:lang w:val="en-US" w:eastAsia="zh-CN"/>
        </w:rPr>
        <w:t>，加强设备维护，避免产生非正常噪声</w:t>
      </w:r>
      <w:r>
        <w:rPr>
          <w:rFonts w:eastAsia="仿宋_GB2312"/>
          <w:bCs/>
          <w:sz w:val="32"/>
          <w:szCs w:val="32"/>
        </w:rPr>
        <w:t>。</w:t>
      </w:r>
    </w:p>
    <w:p w14:paraId="3D34F404">
      <w:pPr>
        <w:widowControl/>
        <w:adjustRightInd w:val="0"/>
        <w:snapToGrid w:val="0"/>
        <w:spacing w:line="560" w:lineRule="exact"/>
        <w:ind w:firstLine="640" w:firstLineChars="200"/>
        <w:rPr>
          <w:rFonts w:eastAsia="仿宋_GB2312"/>
          <w:bCs/>
          <w:sz w:val="32"/>
          <w:szCs w:val="32"/>
        </w:rPr>
      </w:pPr>
      <w:r>
        <w:rPr>
          <w:rFonts w:hint="default" w:eastAsia="仿宋_GB2312"/>
          <w:bCs/>
          <w:sz w:val="32"/>
          <w:szCs w:val="32"/>
        </w:rPr>
        <w:t>（四）合规处置各类固体废物。危险废物分类收集贮存，委托有资质单位处置；一般工业固体废物合规处置；生活垃圾分类收集，由环卫部门及时清运</w:t>
      </w:r>
      <w:r>
        <w:rPr>
          <w:rFonts w:eastAsia="仿宋_GB2312"/>
          <w:bCs/>
          <w:sz w:val="32"/>
          <w:szCs w:val="32"/>
        </w:rPr>
        <w:t>。</w:t>
      </w:r>
    </w:p>
    <w:p w14:paraId="1785D749">
      <w:pPr>
        <w:widowControl/>
        <w:adjustRightInd w:val="0"/>
        <w:snapToGrid w:val="0"/>
        <w:spacing w:line="560" w:lineRule="exact"/>
        <w:ind w:firstLine="640" w:firstLineChars="200"/>
        <w:rPr>
          <w:rFonts w:eastAsia="仿宋_GB2312"/>
          <w:bCs/>
          <w:sz w:val="32"/>
          <w:szCs w:val="32"/>
        </w:rPr>
      </w:pPr>
      <w:r>
        <w:rPr>
          <w:rFonts w:hint="eastAsia" w:eastAsia="仿宋_GB2312"/>
          <w:bCs/>
          <w:sz w:val="32"/>
          <w:szCs w:val="32"/>
        </w:rPr>
        <w:t>（五）增强环境风险防范意识。严格落实环境风险防范措施，按要求编制环境风险应急预案，报我局备案。</w:t>
      </w:r>
    </w:p>
    <w:p w14:paraId="0A4B6D63">
      <w:pPr>
        <w:pStyle w:val="3"/>
        <w:adjustRightInd w:val="0"/>
        <w:snapToGrid w:val="0"/>
        <w:spacing w:after="0" w:line="576" w:lineRule="exact"/>
        <w:ind w:firstLine="640" w:firstLineChars="200"/>
        <w:rPr>
          <w:rFonts w:hint="default" w:eastAsia="仿宋_GB2312"/>
          <w:bCs/>
          <w:sz w:val="32"/>
          <w:szCs w:val="32"/>
        </w:rPr>
      </w:pPr>
      <w:r>
        <w:rPr>
          <w:rFonts w:eastAsia="仿宋_GB2312"/>
          <w:bCs/>
          <w:sz w:val="32"/>
          <w:szCs w:val="32"/>
        </w:rPr>
        <w:t>四、</w:t>
      </w:r>
      <w:r>
        <w:rPr>
          <w:rFonts w:hint="default" w:eastAsia="仿宋_GB2312"/>
          <w:bCs/>
          <w:sz w:val="32"/>
          <w:szCs w:val="32"/>
        </w:rPr>
        <w:t>项目在建设过程中，你</w:t>
      </w:r>
      <w:r>
        <w:rPr>
          <w:rFonts w:hint="eastAsia" w:eastAsia="仿宋_GB2312"/>
          <w:bCs/>
          <w:sz w:val="32"/>
          <w:szCs w:val="32"/>
          <w:lang w:val="en-US" w:eastAsia="zh-CN"/>
        </w:rPr>
        <w:t>公司</w:t>
      </w:r>
      <w:r>
        <w:rPr>
          <w:rFonts w:hint="default" w:eastAsia="仿宋_GB2312"/>
          <w:bCs/>
          <w:sz w:val="32"/>
          <w:szCs w:val="32"/>
        </w:rPr>
        <w:t>应严格执行环保</w:t>
      </w:r>
      <w:r>
        <w:rPr>
          <w:rFonts w:eastAsia="仿宋_GB2312"/>
          <w:bCs/>
          <w:sz w:val="32"/>
          <w:szCs w:val="32"/>
        </w:rPr>
        <w:t>“</w:t>
      </w:r>
      <w:r>
        <w:rPr>
          <w:rFonts w:hint="default" w:eastAsia="仿宋_GB2312"/>
          <w:bCs/>
          <w:sz w:val="32"/>
          <w:szCs w:val="32"/>
        </w:rPr>
        <w:t>三同时</w:t>
      </w:r>
      <w:r>
        <w:rPr>
          <w:rFonts w:eastAsia="仿宋_GB2312"/>
          <w:bCs/>
          <w:sz w:val="32"/>
          <w:szCs w:val="32"/>
        </w:rPr>
        <w:t>”</w:t>
      </w:r>
      <w:r>
        <w:rPr>
          <w:rFonts w:hint="default" w:eastAsia="仿宋_GB2312"/>
          <w:bCs/>
          <w:sz w:val="32"/>
          <w:szCs w:val="32"/>
        </w:rPr>
        <w:t>制度。项目建成后应按要求和规定程序办理排污许可手续和开展竣工环境保护验收。</w:t>
      </w:r>
    </w:p>
    <w:p w14:paraId="24693071">
      <w:pPr>
        <w:rPr>
          <w:sz w:val="32"/>
          <w:szCs w:val="32"/>
        </w:rPr>
      </w:pPr>
    </w:p>
    <w:p w14:paraId="7B99E355">
      <w:pPr>
        <w:rPr>
          <w:rFonts w:hint="eastAsia"/>
          <w:sz w:val="32"/>
          <w:szCs w:val="32"/>
          <w:lang w:val="en-US" w:eastAsia="zh-CN"/>
        </w:rPr>
      </w:pPr>
      <w:r>
        <w:rPr>
          <w:rFonts w:hint="eastAsia"/>
          <w:sz w:val="32"/>
          <w:szCs w:val="32"/>
          <w:lang w:val="en-US" w:eastAsia="zh-CN"/>
        </w:rPr>
        <w:t xml:space="preserve">                             </w:t>
      </w:r>
      <w:r>
        <w:rPr>
          <w:rFonts w:hint="eastAsia" w:ascii="Times New Roman" w:hAnsi="Times New Roman" w:eastAsia="仿宋_GB2312" w:cs="Times New Roman"/>
          <w:bCs/>
          <w:kern w:val="2"/>
          <w:sz w:val="32"/>
          <w:szCs w:val="32"/>
          <w:lang w:val="en-US" w:eastAsia="zh-CN" w:bidi="ar-SA"/>
        </w:rPr>
        <w:t>西安市生态环境局临潼分局</w:t>
      </w:r>
    </w:p>
    <w:tbl>
      <w:tblPr>
        <w:tblStyle w:val="4"/>
        <w:tblpPr w:leftFromText="180" w:rightFromText="180" w:vertAnchor="text" w:horzAnchor="page" w:tblpX="1631" w:tblpY="6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153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Borders>
              <w:left w:val="nil"/>
              <w:right w:val="nil"/>
            </w:tcBorders>
          </w:tcPr>
          <w:p w14:paraId="32FD8383">
            <w:pPr>
              <w:autoSpaceDN w:val="0"/>
              <w:spacing w:line="520" w:lineRule="exact"/>
              <w:rPr>
                <w:rFonts w:hint="default" w:eastAsia="仿宋"/>
                <w:bCs/>
                <w:sz w:val="32"/>
                <w:szCs w:val="32"/>
                <w:lang w:val="en-US" w:eastAsia="zh-CN"/>
              </w:rPr>
            </w:pPr>
            <w:r>
              <w:rPr>
                <w:rFonts w:hint="default" w:hAnsi="仿宋" w:eastAsia="仿宋"/>
                <w:bCs/>
                <w:sz w:val="32"/>
                <w:szCs w:val="32"/>
              </w:rPr>
              <w:t>抄送：</w:t>
            </w:r>
            <w:r>
              <w:rPr>
                <w:rFonts w:hAnsi="仿宋" w:eastAsia="仿宋"/>
                <w:bCs/>
                <w:sz w:val="32"/>
                <w:szCs w:val="32"/>
              </w:rPr>
              <w:t>西安市生态环境保护综合执法支队临潼大队、信电综合勘察设计研究院有限公司</w:t>
            </w:r>
          </w:p>
        </w:tc>
      </w:tr>
    </w:tbl>
    <w:p w14:paraId="23EC0281">
      <w:pPr>
        <w:rPr>
          <w:rFonts w:hint="default"/>
          <w:sz w:val="32"/>
          <w:szCs w:val="32"/>
          <w:lang w:val="en-US" w:eastAsia="zh-CN"/>
        </w:rPr>
      </w:pPr>
      <w:r>
        <w:rPr>
          <w:rFonts w:hint="eastAsia"/>
          <w:sz w:val="32"/>
          <w:szCs w:val="32"/>
          <w:lang w:val="en-US" w:eastAsia="zh-CN"/>
        </w:rPr>
        <w:t xml:space="preserve">                                  </w:t>
      </w:r>
      <w:r>
        <w:rPr>
          <w:rFonts w:hint="eastAsia" w:ascii="Times New Roman" w:hAnsi="Times New Roman" w:eastAsia="仿宋_GB2312" w:cs="Times New Roman"/>
          <w:bCs/>
          <w:kern w:val="2"/>
          <w:sz w:val="32"/>
          <w:szCs w:val="32"/>
          <w:lang w:val="en-US" w:eastAsia="zh-CN" w:bidi="ar-SA"/>
        </w:rPr>
        <w:t>2026年2月</w:t>
      </w:r>
      <w:r>
        <w:rPr>
          <w:rFonts w:hint="eastAsia" w:eastAsia="仿宋_GB2312" w:cs="Times New Roman"/>
          <w:bCs/>
          <w:kern w:val="2"/>
          <w:sz w:val="32"/>
          <w:szCs w:val="32"/>
          <w:lang w:val="en-US" w:eastAsia="zh-CN" w:bidi="ar-SA"/>
        </w:rPr>
        <w:t>12</w:t>
      </w:r>
      <w:r>
        <w:rPr>
          <w:rFonts w:hint="eastAsia" w:ascii="Times New Roman" w:hAnsi="Times New Roman" w:eastAsia="仿宋_GB2312" w:cs="Times New Roman"/>
          <w:bCs/>
          <w:kern w:val="2"/>
          <w:sz w:val="32"/>
          <w:szCs w:val="32"/>
          <w:lang w:val="en-US" w:eastAsia="zh-CN" w:bidi="ar-SA"/>
        </w:rPr>
        <w:t>日</w:t>
      </w:r>
    </w:p>
    <w:sectPr>
      <w:pgSz w:w="11906" w:h="16838"/>
      <w:pgMar w:top="1417"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C698C"/>
    <w:rsid w:val="53034307"/>
    <w:rsid w:val="7C5C4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Body Text First Indent"/>
    <w:basedOn w:val="2"/>
    <w:qFormat/>
    <w:uiPriority w:val="0"/>
    <w:pPr>
      <w:spacing w:after="120"/>
      <w:ind w:firstLine="420" w:firstLineChars="100"/>
      <w:jc w:val="both"/>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834</Words>
  <Characters>866</Characters>
  <Lines>0</Lines>
  <Paragraphs>0</Paragraphs>
  <TotalTime>0</TotalTime>
  <ScaleCrop>false</ScaleCrop>
  <LinksUpToDate>false</LinksUpToDate>
  <CharactersWithSpaces>960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2026-02-06T03:19:00Z</dcterms:created>
  <dc:creator>Administrator</dc:creator>
  <cp:lastModifiedBy>离羽</cp:lastModifiedBy>
  <dcterms:modified xsi:type="dcterms:W3CDTF">2026-02-12T02:12:39Z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eyJoZGlkIjoiYWU2NTY5MzQ5NzBlMGY0YWRjYTAzNmQyMjFjOTRmNmEiLCJ1c2VySWQiOiI5NjUwNDA1NTkifQ==</vt:lpwstr>
  </property>
  <property fmtid="{D5CDD505-2E9C-101B-9397-08002B2CF9AE}" pid="4" name="ICV">
    <vt:lpwstr>CF7D7D23726645209AE9F35181A5CFE8_12</vt:lpwstr>
  </property>
</Properties>
</file>