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371" w:type="dxa"/>
        <w:tblInd w:w="93" w:type="dxa"/>
        <w:tblLook w:val="04A0"/>
      </w:tblPr>
      <w:tblGrid>
        <w:gridCol w:w="620"/>
        <w:gridCol w:w="1060"/>
        <w:gridCol w:w="4460"/>
        <w:gridCol w:w="963"/>
        <w:gridCol w:w="1160"/>
        <w:gridCol w:w="1108"/>
      </w:tblGrid>
      <w:tr w:rsidR="002D7FF6" w:rsidRPr="00122F5C" w:rsidTr="00064C93">
        <w:trPr>
          <w:trHeight w:val="540"/>
        </w:trPr>
        <w:tc>
          <w:tcPr>
            <w:tcW w:w="1680" w:type="dxa"/>
            <w:gridSpan w:val="2"/>
            <w:tcBorders>
              <w:top w:val="nil"/>
              <w:left w:val="nil"/>
              <w:bottom w:val="nil"/>
              <w:right w:val="nil"/>
            </w:tcBorders>
            <w:shd w:val="clear" w:color="auto" w:fill="auto"/>
            <w:noWrap/>
            <w:vAlign w:val="center"/>
            <w:hideMark/>
          </w:tcPr>
          <w:p w:rsidR="002D7FF6" w:rsidRPr="00122F5C" w:rsidRDefault="002D7FF6" w:rsidP="00064C93">
            <w:pPr>
              <w:widowControl/>
              <w:jc w:val="left"/>
              <w:rPr>
                <w:rFonts w:ascii="黑体" w:eastAsia="黑体" w:hAnsi="黑体" w:cs="宋体"/>
                <w:color w:val="000000"/>
                <w:kern w:val="0"/>
                <w:sz w:val="32"/>
                <w:szCs w:val="32"/>
              </w:rPr>
            </w:pPr>
            <w:r w:rsidRPr="00122F5C">
              <w:rPr>
                <w:rFonts w:ascii="黑体" w:eastAsia="黑体" w:hAnsi="黑体" w:cs="宋体" w:hint="eastAsia"/>
                <w:color w:val="000000"/>
                <w:kern w:val="0"/>
                <w:sz w:val="32"/>
                <w:szCs w:val="32"/>
              </w:rPr>
              <w:t>附件</w:t>
            </w:r>
          </w:p>
        </w:tc>
        <w:tc>
          <w:tcPr>
            <w:tcW w:w="4460" w:type="dxa"/>
            <w:tcBorders>
              <w:top w:val="nil"/>
              <w:left w:val="nil"/>
              <w:bottom w:val="nil"/>
              <w:right w:val="nil"/>
            </w:tcBorders>
            <w:shd w:val="clear" w:color="auto" w:fill="auto"/>
            <w:noWrap/>
            <w:vAlign w:val="center"/>
            <w:hideMark/>
          </w:tcPr>
          <w:p w:rsidR="002D7FF6" w:rsidRPr="00122F5C" w:rsidRDefault="002D7FF6" w:rsidP="00064C93">
            <w:pPr>
              <w:widowControl/>
              <w:jc w:val="left"/>
              <w:rPr>
                <w:rFonts w:ascii="宋体" w:hAnsi="宋体" w:cs="宋体"/>
                <w:color w:val="000000"/>
                <w:kern w:val="0"/>
                <w:sz w:val="32"/>
                <w:szCs w:val="32"/>
              </w:rPr>
            </w:pPr>
          </w:p>
        </w:tc>
        <w:tc>
          <w:tcPr>
            <w:tcW w:w="963" w:type="dxa"/>
            <w:tcBorders>
              <w:top w:val="nil"/>
              <w:left w:val="nil"/>
              <w:bottom w:val="nil"/>
              <w:right w:val="nil"/>
            </w:tcBorders>
            <w:shd w:val="clear" w:color="auto" w:fill="auto"/>
            <w:noWrap/>
            <w:vAlign w:val="center"/>
            <w:hideMark/>
          </w:tcPr>
          <w:p w:rsidR="002D7FF6" w:rsidRPr="00122F5C" w:rsidRDefault="002D7FF6" w:rsidP="00064C93">
            <w:pPr>
              <w:widowControl/>
              <w:jc w:val="left"/>
              <w:rPr>
                <w:rFonts w:ascii="宋体" w:hAnsi="宋体" w:cs="宋体"/>
                <w:color w:val="000000"/>
                <w:kern w:val="0"/>
                <w:sz w:val="32"/>
                <w:szCs w:val="32"/>
              </w:rPr>
            </w:pPr>
          </w:p>
        </w:tc>
        <w:tc>
          <w:tcPr>
            <w:tcW w:w="1160" w:type="dxa"/>
            <w:tcBorders>
              <w:top w:val="nil"/>
              <w:left w:val="nil"/>
              <w:bottom w:val="nil"/>
              <w:right w:val="nil"/>
            </w:tcBorders>
            <w:shd w:val="clear" w:color="auto" w:fill="auto"/>
            <w:noWrap/>
            <w:vAlign w:val="center"/>
            <w:hideMark/>
          </w:tcPr>
          <w:p w:rsidR="002D7FF6" w:rsidRPr="00122F5C" w:rsidRDefault="002D7FF6" w:rsidP="00064C93">
            <w:pPr>
              <w:widowControl/>
              <w:jc w:val="left"/>
              <w:rPr>
                <w:rFonts w:ascii="宋体" w:hAnsi="宋体" w:cs="宋体"/>
                <w:color w:val="000000"/>
                <w:kern w:val="0"/>
                <w:sz w:val="32"/>
                <w:szCs w:val="32"/>
              </w:rPr>
            </w:pPr>
          </w:p>
        </w:tc>
        <w:tc>
          <w:tcPr>
            <w:tcW w:w="1108" w:type="dxa"/>
            <w:tcBorders>
              <w:top w:val="nil"/>
              <w:left w:val="nil"/>
              <w:bottom w:val="nil"/>
              <w:right w:val="nil"/>
            </w:tcBorders>
            <w:shd w:val="clear" w:color="auto" w:fill="auto"/>
            <w:noWrap/>
            <w:vAlign w:val="center"/>
            <w:hideMark/>
          </w:tcPr>
          <w:p w:rsidR="002D7FF6" w:rsidRPr="00122F5C" w:rsidRDefault="002D7FF6" w:rsidP="00064C93">
            <w:pPr>
              <w:widowControl/>
              <w:jc w:val="left"/>
              <w:rPr>
                <w:rFonts w:ascii="宋体" w:hAnsi="宋体" w:cs="宋体"/>
                <w:color w:val="000000"/>
                <w:kern w:val="0"/>
                <w:sz w:val="32"/>
                <w:szCs w:val="32"/>
              </w:rPr>
            </w:pPr>
          </w:p>
        </w:tc>
      </w:tr>
      <w:tr w:rsidR="002D7FF6" w:rsidRPr="00122F5C" w:rsidTr="00064C93">
        <w:trPr>
          <w:trHeight w:val="739"/>
        </w:trPr>
        <w:tc>
          <w:tcPr>
            <w:tcW w:w="9371" w:type="dxa"/>
            <w:gridSpan w:val="6"/>
            <w:tcBorders>
              <w:top w:val="nil"/>
              <w:left w:val="nil"/>
              <w:bottom w:val="nil"/>
              <w:right w:val="nil"/>
            </w:tcBorders>
            <w:shd w:val="clear" w:color="auto" w:fill="auto"/>
            <w:noWrap/>
            <w:vAlign w:val="center"/>
            <w:hideMark/>
          </w:tcPr>
          <w:p w:rsidR="002D7FF6" w:rsidRPr="00122F5C" w:rsidRDefault="002D7FF6" w:rsidP="00064C93">
            <w:pPr>
              <w:widowControl/>
              <w:jc w:val="center"/>
              <w:rPr>
                <w:rFonts w:ascii="方正小标宋简体" w:eastAsia="方正小标宋简体" w:hAnsi="黑体" w:cs="宋体" w:hint="eastAsia"/>
                <w:kern w:val="0"/>
                <w:sz w:val="44"/>
                <w:szCs w:val="44"/>
              </w:rPr>
            </w:pPr>
            <w:r w:rsidRPr="00122F5C">
              <w:rPr>
                <w:rFonts w:ascii="方正小标宋简体" w:eastAsia="方正小标宋简体" w:hAnsi="黑体" w:cs="宋体" w:hint="eastAsia"/>
                <w:kern w:val="0"/>
                <w:sz w:val="44"/>
                <w:szCs w:val="44"/>
              </w:rPr>
              <w:t>养老服务业综合改革试点任务分解表</w:t>
            </w:r>
          </w:p>
        </w:tc>
      </w:tr>
      <w:tr w:rsidR="002D7FF6" w:rsidRPr="00122F5C" w:rsidTr="00064C93">
        <w:trPr>
          <w:trHeight w:val="660"/>
        </w:trPr>
        <w:tc>
          <w:tcPr>
            <w:tcW w:w="6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b/>
                <w:bCs/>
                <w:kern w:val="0"/>
                <w:szCs w:val="21"/>
              </w:rPr>
            </w:pPr>
            <w:r w:rsidRPr="00122F5C">
              <w:rPr>
                <w:rFonts w:ascii="宋体" w:hAnsi="宋体" w:cs="宋体" w:hint="eastAsia"/>
                <w:b/>
                <w:bCs/>
                <w:kern w:val="0"/>
                <w:szCs w:val="21"/>
              </w:rPr>
              <w:t>序号</w:t>
            </w:r>
          </w:p>
        </w:tc>
        <w:tc>
          <w:tcPr>
            <w:tcW w:w="1060" w:type="dxa"/>
            <w:tcBorders>
              <w:top w:val="single" w:sz="4" w:space="0" w:color="auto"/>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b/>
                <w:bCs/>
                <w:kern w:val="0"/>
                <w:sz w:val="22"/>
                <w:szCs w:val="22"/>
              </w:rPr>
            </w:pPr>
            <w:r w:rsidRPr="00122F5C">
              <w:rPr>
                <w:rFonts w:ascii="宋体" w:hAnsi="宋体" w:cs="宋体" w:hint="eastAsia"/>
                <w:b/>
                <w:bCs/>
                <w:kern w:val="0"/>
                <w:sz w:val="22"/>
                <w:szCs w:val="22"/>
              </w:rPr>
              <w:t>内容</w:t>
            </w:r>
          </w:p>
        </w:tc>
        <w:tc>
          <w:tcPr>
            <w:tcW w:w="4460" w:type="dxa"/>
            <w:tcBorders>
              <w:top w:val="single" w:sz="4" w:space="0" w:color="auto"/>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b/>
                <w:bCs/>
                <w:kern w:val="0"/>
                <w:sz w:val="22"/>
                <w:szCs w:val="22"/>
              </w:rPr>
            </w:pPr>
            <w:r w:rsidRPr="00122F5C">
              <w:rPr>
                <w:rFonts w:ascii="宋体" w:hAnsi="宋体" w:cs="宋体" w:hint="eastAsia"/>
                <w:b/>
                <w:bCs/>
                <w:kern w:val="0"/>
                <w:sz w:val="22"/>
                <w:szCs w:val="22"/>
              </w:rPr>
              <w:t>目    标</w:t>
            </w:r>
          </w:p>
        </w:tc>
        <w:tc>
          <w:tcPr>
            <w:tcW w:w="963" w:type="dxa"/>
            <w:tcBorders>
              <w:top w:val="single" w:sz="4" w:space="0" w:color="auto"/>
              <w:left w:val="nil"/>
              <w:bottom w:val="single" w:sz="4" w:space="0" w:color="auto"/>
              <w:right w:val="single" w:sz="4" w:space="0" w:color="auto"/>
            </w:tcBorders>
            <w:shd w:val="clear" w:color="auto" w:fill="auto"/>
            <w:vAlign w:val="center"/>
            <w:hideMark/>
          </w:tcPr>
          <w:p w:rsidR="002D7FF6" w:rsidRDefault="002D7FF6" w:rsidP="00064C93">
            <w:pPr>
              <w:widowControl/>
              <w:spacing w:line="240" w:lineRule="exact"/>
              <w:jc w:val="center"/>
              <w:rPr>
                <w:rFonts w:ascii="宋体" w:hAnsi="宋体" w:cs="宋体" w:hint="eastAsia"/>
                <w:b/>
                <w:bCs/>
                <w:kern w:val="0"/>
                <w:sz w:val="22"/>
                <w:szCs w:val="22"/>
              </w:rPr>
            </w:pPr>
            <w:r w:rsidRPr="00122F5C">
              <w:rPr>
                <w:rFonts w:ascii="宋体" w:hAnsi="宋体" w:cs="宋体" w:hint="eastAsia"/>
                <w:b/>
                <w:bCs/>
                <w:kern w:val="0"/>
                <w:sz w:val="22"/>
                <w:szCs w:val="22"/>
              </w:rPr>
              <w:t>完成</w:t>
            </w:r>
          </w:p>
          <w:p w:rsidR="002D7FF6" w:rsidRPr="00122F5C" w:rsidRDefault="002D7FF6" w:rsidP="00064C93">
            <w:pPr>
              <w:widowControl/>
              <w:spacing w:line="240" w:lineRule="exact"/>
              <w:jc w:val="center"/>
              <w:rPr>
                <w:rFonts w:ascii="宋体" w:hAnsi="宋体" w:cs="宋体"/>
                <w:b/>
                <w:bCs/>
                <w:kern w:val="0"/>
                <w:sz w:val="22"/>
                <w:szCs w:val="22"/>
              </w:rPr>
            </w:pPr>
            <w:r w:rsidRPr="00122F5C">
              <w:rPr>
                <w:rFonts w:ascii="宋体" w:hAnsi="宋体" w:cs="宋体" w:hint="eastAsia"/>
                <w:b/>
                <w:bCs/>
                <w:kern w:val="0"/>
                <w:sz w:val="22"/>
                <w:szCs w:val="22"/>
              </w:rPr>
              <w:t>时限</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b/>
                <w:bCs/>
                <w:kern w:val="0"/>
                <w:sz w:val="22"/>
                <w:szCs w:val="22"/>
              </w:rPr>
            </w:pPr>
            <w:r w:rsidRPr="00122F5C">
              <w:rPr>
                <w:rFonts w:ascii="宋体" w:hAnsi="宋体" w:cs="宋体" w:hint="eastAsia"/>
                <w:b/>
                <w:bCs/>
                <w:kern w:val="0"/>
                <w:sz w:val="22"/>
                <w:szCs w:val="22"/>
              </w:rPr>
              <w:t>牵头部门</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b/>
                <w:bCs/>
                <w:kern w:val="0"/>
                <w:sz w:val="22"/>
                <w:szCs w:val="22"/>
              </w:rPr>
            </w:pPr>
            <w:r w:rsidRPr="00122F5C">
              <w:rPr>
                <w:rFonts w:ascii="宋体" w:hAnsi="宋体" w:cs="宋体" w:hint="eastAsia"/>
                <w:b/>
                <w:bCs/>
                <w:kern w:val="0"/>
                <w:sz w:val="22"/>
                <w:szCs w:val="22"/>
              </w:rPr>
              <w:t>参与部门</w:t>
            </w:r>
          </w:p>
        </w:tc>
      </w:tr>
      <w:tr w:rsidR="002D7FF6" w:rsidRPr="00122F5C" w:rsidTr="00064C93">
        <w:trPr>
          <w:trHeight w:val="451"/>
        </w:trPr>
        <w:tc>
          <w:tcPr>
            <w:tcW w:w="620" w:type="dxa"/>
            <w:vMerge w:val="restart"/>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Cs w:val="21"/>
              </w:rPr>
            </w:pPr>
            <w:r w:rsidRPr="00122F5C">
              <w:rPr>
                <w:rFonts w:ascii="宋体" w:hAnsi="宋体" w:cs="宋体" w:hint="eastAsia"/>
                <w:kern w:val="0"/>
                <w:szCs w:val="21"/>
              </w:rPr>
              <w:t>1</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统筹规划城市养老服务设施</w:t>
            </w:r>
          </w:p>
        </w:tc>
        <w:tc>
          <w:tcPr>
            <w:tcW w:w="44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left"/>
              <w:rPr>
                <w:rFonts w:ascii="宋体" w:hAnsi="宋体" w:cs="宋体"/>
                <w:kern w:val="0"/>
                <w:sz w:val="20"/>
                <w:szCs w:val="20"/>
              </w:rPr>
            </w:pPr>
            <w:r w:rsidRPr="00122F5C">
              <w:rPr>
                <w:rFonts w:ascii="宋体" w:hAnsi="宋体" w:cs="宋体" w:hint="eastAsia"/>
                <w:kern w:val="0"/>
                <w:sz w:val="20"/>
                <w:szCs w:val="20"/>
              </w:rPr>
              <w:t xml:space="preserve">  制定全区养老服务设施布局规划。</w:t>
            </w:r>
          </w:p>
        </w:tc>
        <w:tc>
          <w:tcPr>
            <w:tcW w:w="963"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hint="eastAsia"/>
                <w:kern w:val="0"/>
                <w:sz w:val="20"/>
                <w:szCs w:val="20"/>
              </w:rPr>
            </w:pPr>
            <w:r w:rsidRPr="00122F5C">
              <w:rPr>
                <w:rFonts w:ascii="宋体" w:hAnsi="宋体" w:cs="宋体" w:hint="eastAsia"/>
                <w:kern w:val="0"/>
                <w:sz w:val="20"/>
                <w:szCs w:val="20"/>
              </w:rPr>
              <w:t>2016</w:t>
            </w:r>
          </w:p>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年底</w:t>
            </w:r>
          </w:p>
        </w:tc>
        <w:tc>
          <w:tcPr>
            <w:tcW w:w="11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区民政局</w:t>
            </w:r>
          </w:p>
        </w:tc>
        <w:tc>
          <w:tcPr>
            <w:tcW w:w="1108"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规划分局        各街办</w:t>
            </w:r>
          </w:p>
        </w:tc>
      </w:tr>
      <w:tr w:rsidR="002D7FF6" w:rsidRPr="00122F5C" w:rsidTr="00064C93">
        <w:trPr>
          <w:trHeight w:val="900"/>
        </w:trPr>
        <w:tc>
          <w:tcPr>
            <w:tcW w:w="620" w:type="dxa"/>
            <w:vMerge/>
            <w:tcBorders>
              <w:top w:val="nil"/>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Cs w:val="21"/>
              </w:rPr>
            </w:pPr>
          </w:p>
        </w:tc>
        <w:tc>
          <w:tcPr>
            <w:tcW w:w="1060" w:type="dxa"/>
            <w:vMerge/>
            <w:tcBorders>
              <w:top w:val="nil"/>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 w:val="20"/>
                <w:szCs w:val="20"/>
              </w:rPr>
            </w:pPr>
          </w:p>
        </w:tc>
        <w:tc>
          <w:tcPr>
            <w:tcW w:w="44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left"/>
              <w:rPr>
                <w:rFonts w:ascii="宋体" w:hAnsi="宋体" w:cs="宋体"/>
                <w:kern w:val="0"/>
                <w:sz w:val="20"/>
                <w:szCs w:val="20"/>
              </w:rPr>
            </w:pPr>
            <w:r w:rsidRPr="00122F5C">
              <w:rPr>
                <w:rFonts w:ascii="宋体" w:hAnsi="宋体" w:cs="宋体" w:hint="eastAsia"/>
                <w:kern w:val="0"/>
                <w:sz w:val="20"/>
                <w:szCs w:val="20"/>
              </w:rPr>
              <w:t xml:space="preserve">  在制订城市总体规划、控制性详细规划时，按照人均用地不少于0.1平方米的标准设置养老服务设施。</w:t>
            </w:r>
          </w:p>
        </w:tc>
        <w:tc>
          <w:tcPr>
            <w:tcW w:w="963"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hint="eastAsia"/>
                <w:kern w:val="0"/>
                <w:sz w:val="20"/>
                <w:szCs w:val="20"/>
              </w:rPr>
            </w:pPr>
            <w:r w:rsidRPr="00122F5C">
              <w:rPr>
                <w:rFonts w:ascii="宋体" w:hAnsi="宋体" w:cs="宋体" w:hint="eastAsia"/>
                <w:kern w:val="0"/>
                <w:sz w:val="20"/>
                <w:szCs w:val="20"/>
              </w:rPr>
              <w:t>持续</w:t>
            </w:r>
          </w:p>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实施</w:t>
            </w:r>
          </w:p>
        </w:tc>
        <w:tc>
          <w:tcPr>
            <w:tcW w:w="11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规划分局</w:t>
            </w:r>
          </w:p>
        </w:tc>
        <w:tc>
          <w:tcPr>
            <w:tcW w:w="1108"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 xml:space="preserve">区民政局                                   </w:t>
            </w:r>
            <w:r w:rsidRPr="00122F5C">
              <w:rPr>
                <w:kern w:val="0"/>
                <w:sz w:val="20"/>
                <w:szCs w:val="20"/>
              </w:rPr>
              <w:br/>
            </w:r>
            <w:r w:rsidRPr="00122F5C">
              <w:rPr>
                <w:rFonts w:ascii="宋体" w:hAnsi="宋体" w:cs="宋体" w:hint="eastAsia"/>
                <w:kern w:val="0"/>
                <w:sz w:val="20"/>
                <w:szCs w:val="20"/>
              </w:rPr>
              <w:t>各街办</w:t>
            </w:r>
          </w:p>
        </w:tc>
      </w:tr>
      <w:tr w:rsidR="002D7FF6" w:rsidRPr="00122F5C" w:rsidTr="00064C93">
        <w:trPr>
          <w:trHeight w:val="1889"/>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Cs w:val="21"/>
              </w:rPr>
            </w:pPr>
            <w:r w:rsidRPr="00122F5C">
              <w:rPr>
                <w:rFonts w:ascii="宋体" w:hAnsi="宋体" w:cs="宋体" w:hint="eastAsia"/>
                <w:kern w:val="0"/>
                <w:szCs w:val="21"/>
              </w:rPr>
              <w:t>2</w:t>
            </w:r>
          </w:p>
        </w:tc>
        <w:tc>
          <w:tcPr>
            <w:tcW w:w="10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加快推进养老服务设施建设</w:t>
            </w:r>
          </w:p>
        </w:tc>
        <w:tc>
          <w:tcPr>
            <w:tcW w:w="44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left"/>
              <w:rPr>
                <w:rFonts w:ascii="宋体" w:hAnsi="宋体" w:cs="宋体"/>
                <w:kern w:val="0"/>
                <w:sz w:val="20"/>
                <w:szCs w:val="20"/>
              </w:rPr>
            </w:pPr>
            <w:r w:rsidRPr="00122F5C">
              <w:rPr>
                <w:rFonts w:ascii="宋体" w:hAnsi="宋体" w:cs="宋体" w:hint="eastAsia"/>
                <w:kern w:val="0"/>
                <w:sz w:val="20"/>
                <w:szCs w:val="20"/>
              </w:rPr>
              <w:t xml:space="preserve">  新建城区和新建居住（小）区，要按每百户15至20平方米配套建设养老服务设施，并与住宅同步规划、同步建设、同步验收、同步交付使用。老城区和已建成居住（小）区无养老服务设施或现有设施未达到标准的，要在2017年底前通过购买、置换、租赁等方式开辟养老服务设施。实施社区、老年人家庭无障碍设施改造。</w:t>
            </w:r>
          </w:p>
        </w:tc>
        <w:tc>
          <w:tcPr>
            <w:tcW w:w="963"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2016年-2018年</w:t>
            </w:r>
          </w:p>
        </w:tc>
        <w:tc>
          <w:tcPr>
            <w:tcW w:w="11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 xml:space="preserve">规划分局  区建住局    </w:t>
            </w:r>
          </w:p>
        </w:tc>
        <w:tc>
          <w:tcPr>
            <w:tcW w:w="1108"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区民政局</w:t>
            </w:r>
            <w:r w:rsidRPr="00122F5C">
              <w:rPr>
                <w:rFonts w:ascii="宋体" w:hAnsi="宋体" w:cs="宋体" w:hint="eastAsia"/>
                <w:kern w:val="0"/>
                <w:sz w:val="20"/>
                <w:szCs w:val="20"/>
              </w:rPr>
              <w:br/>
              <w:t>区老龄办</w:t>
            </w:r>
            <w:r w:rsidRPr="00122F5C">
              <w:rPr>
                <w:rFonts w:ascii="宋体" w:hAnsi="宋体" w:cs="宋体" w:hint="eastAsia"/>
                <w:kern w:val="0"/>
                <w:sz w:val="20"/>
                <w:szCs w:val="20"/>
              </w:rPr>
              <w:br/>
              <w:t>区残联</w:t>
            </w:r>
            <w:r w:rsidRPr="00122F5C">
              <w:rPr>
                <w:rFonts w:ascii="宋体" w:hAnsi="宋体" w:cs="宋体" w:hint="eastAsia"/>
                <w:kern w:val="0"/>
                <w:sz w:val="20"/>
                <w:szCs w:val="20"/>
              </w:rPr>
              <w:br/>
              <w:t>各街办</w:t>
            </w:r>
          </w:p>
        </w:tc>
      </w:tr>
      <w:tr w:rsidR="002D7FF6" w:rsidRPr="00122F5C" w:rsidTr="00064C93">
        <w:trPr>
          <w:trHeight w:val="144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Cs w:val="21"/>
              </w:rPr>
            </w:pPr>
            <w:r w:rsidRPr="00122F5C">
              <w:rPr>
                <w:rFonts w:ascii="宋体" w:hAnsi="宋体" w:cs="宋体" w:hint="eastAsia"/>
                <w:kern w:val="0"/>
                <w:szCs w:val="21"/>
              </w:rPr>
              <w:t>3</w:t>
            </w:r>
          </w:p>
        </w:tc>
        <w:tc>
          <w:tcPr>
            <w:tcW w:w="10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大力发展居家养老服务</w:t>
            </w:r>
          </w:p>
        </w:tc>
        <w:tc>
          <w:tcPr>
            <w:tcW w:w="44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left"/>
              <w:rPr>
                <w:rFonts w:ascii="宋体" w:hAnsi="宋体" w:cs="宋体"/>
                <w:kern w:val="0"/>
                <w:sz w:val="20"/>
                <w:szCs w:val="20"/>
              </w:rPr>
            </w:pPr>
            <w:r w:rsidRPr="00122F5C">
              <w:rPr>
                <w:rFonts w:ascii="宋体" w:hAnsi="宋体" w:cs="宋体" w:hint="eastAsia"/>
                <w:kern w:val="0"/>
                <w:sz w:val="20"/>
                <w:szCs w:val="20"/>
              </w:rPr>
              <w:t xml:space="preserve">  修订完善扶持政策，支持居家养老服务机构为老年人提供上门服务；大力发展家政服务。支持社区引入社会组织和家政、物业等企业，开展老年人供餐、社区日间照料等服务。</w:t>
            </w:r>
          </w:p>
        </w:tc>
        <w:tc>
          <w:tcPr>
            <w:tcW w:w="963"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2016年-2018年</w:t>
            </w:r>
          </w:p>
        </w:tc>
        <w:tc>
          <w:tcPr>
            <w:tcW w:w="11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 xml:space="preserve">          区老龄办</w:t>
            </w:r>
          </w:p>
        </w:tc>
        <w:tc>
          <w:tcPr>
            <w:tcW w:w="1108"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区民政局        区发改委</w:t>
            </w:r>
            <w:r w:rsidRPr="00122F5C">
              <w:rPr>
                <w:rFonts w:ascii="宋体" w:hAnsi="宋体" w:cs="宋体" w:hint="eastAsia"/>
                <w:kern w:val="0"/>
                <w:sz w:val="20"/>
                <w:szCs w:val="20"/>
              </w:rPr>
              <w:br/>
              <w:t>区人社局</w:t>
            </w:r>
            <w:r w:rsidRPr="00122F5C">
              <w:rPr>
                <w:rFonts w:ascii="宋体" w:hAnsi="宋体" w:cs="宋体" w:hint="eastAsia"/>
                <w:kern w:val="0"/>
                <w:sz w:val="20"/>
                <w:szCs w:val="20"/>
              </w:rPr>
              <w:br/>
              <w:t>区财政局</w:t>
            </w:r>
            <w:r w:rsidRPr="00122F5C">
              <w:rPr>
                <w:rFonts w:ascii="宋体" w:hAnsi="宋体" w:cs="宋体" w:hint="eastAsia"/>
                <w:kern w:val="0"/>
                <w:sz w:val="20"/>
                <w:szCs w:val="20"/>
              </w:rPr>
              <w:br/>
              <w:t xml:space="preserve">区卫计局         </w:t>
            </w:r>
            <w:r w:rsidRPr="00122F5C">
              <w:rPr>
                <w:rFonts w:ascii="宋体" w:hAnsi="宋体" w:cs="宋体" w:hint="eastAsia"/>
                <w:kern w:val="0"/>
                <w:sz w:val="20"/>
                <w:szCs w:val="20"/>
              </w:rPr>
              <w:br/>
              <w:t>各街办</w:t>
            </w:r>
          </w:p>
        </w:tc>
      </w:tr>
      <w:tr w:rsidR="002D7FF6" w:rsidRPr="00122F5C" w:rsidTr="00064C93">
        <w:trPr>
          <w:trHeight w:val="1228"/>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Cs w:val="21"/>
              </w:rPr>
            </w:pPr>
            <w:r w:rsidRPr="00122F5C">
              <w:rPr>
                <w:rFonts w:ascii="宋体" w:hAnsi="宋体" w:cs="宋体" w:hint="eastAsia"/>
                <w:kern w:val="0"/>
                <w:szCs w:val="21"/>
              </w:rPr>
              <w:t>4</w:t>
            </w:r>
          </w:p>
        </w:tc>
        <w:tc>
          <w:tcPr>
            <w:tcW w:w="10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大力加强机构养老建设</w:t>
            </w:r>
          </w:p>
        </w:tc>
        <w:tc>
          <w:tcPr>
            <w:tcW w:w="44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left"/>
              <w:rPr>
                <w:kern w:val="0"/>
                <w:sz w:val="20"/>
                <w:szCs w:val="20"/>
              </w:rPr>
            </w:pPr>
            <w:r w:rsidRPr="00122F5C">
              <w:rPr>
                <w:kern w:val="0"/>
                <w:sz w:val="20"/>
                <w:szCs w:val="20"/>
              </w:rPr>
              <w:t xml:space="preserve">    </w:t>
            </w:r>
            <w:r w:rsidRPr="00122F5C">
              <w:rPr>
                <w:rFonts w:ascii="宋体" w:hAnsi="宋体" w:hint="eastAsia"/>
                <w:kern w:val="0"/>
                <w:sz w:val="20"/>
                <w:szCs w:val="20"/>
              </w:rPr>
              <w:t>办好公办保障性养老机构，区上要分别建立一所集养老、培训、示范为一体的综合性社会福利服务中心。开展公办养老机构改革试点。完成社会养老床位每千名老人</w:t>
            </w:r>
            <w:r w:rsidRPr="00122F5C">
              <w:rPr>
                <w:kern w:val="0"/>
                <w:sz w:val="20"/>
                <w:szCs w:val="20"/>
              </w:rPr>
              <w:t>40</w:t>
            </w:r>
            <w:r w:rsidRPr="00122F5C">
              <w:rPr>
                <w:rFonts w:ascii="宋体" w:hAnsi="宋体" w:hint="eastAsia"/>
                <w:kern w:val="0"/>
                <w:sz w:val="20"/>
                <w:szCs w:val="20"/>
              </w:rPr>
              <w:t>张的指标。</w:t>
            </w:r>
          </w:p>
        </w:tc>
        <w:tc>
          <w:tcPr>
            <w:tcW w:w="963"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2016年-2018年</w:t>
            </w:r>
          </w:p>
        </w:tc>
        <w:tc>
          <w:tcPr>
            <w:tcW w:w="11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区民政局</w:t>
            </w:r>
          </w:p>
        </w:tc>
        <w:tc>
          <w:tcPr>
            <w:tcW w:w="1108"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区财政局</w:t>
            </w:r>
            <w:r w:rsidRPr="00122F5C">
              <w:rPr>
                <w:rFonts w:ascii="宋体" w:hAnsi="宋体" w:cs="宋体" w:hint="eastAsia"/>
                <w:kern w:val="0"/>
                <w:sz w:val="20"/>
                <w:szCs w:val="20"/>
              </w:rPr>
              <w:br/>
              <w:t>各街办</w:t>
            </w:r>
          </w:p>
        </w:tc>
      </w:tr>
      <w:tr w:rsidR="002D7FF6" w:rsidRPr="00122F5C" w:rsidTr="00064C93">
        <w:trPr>
          <w:trHeight w:val="847"/>
        </w:trPr>
        <w:tc>
          <w:tcPr>
            <w:tcW w:w="620" w:type="dxa"/>
            <w:vMerge w:val="restart"/>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Cs w:val="21"/>
              </w:rPr>
            </w:pPr>
            <w:r w:rsidRPr="00122F5C">
              <w:rPr>
                <w:rFonts w:ascii="宋体" w:hAnsi="宋体" w:cs="宋体" w:hint="eastAsia"/>
                <w:kern w:val="0"/>
                <w:szCs w:val="21"/>
              </w:rPr>
              <w:t>5</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切实加强农村养老服务</w:t>
            </w:r>
          </w:p>
        </w:tc>
        <w:tc>
          <w:tcPr>
            <w:tcW w:w="44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left"/>
              <w:rPr>
                <w:rFonts w:ascii="宋体" w:hAnsi="宋体" w:cs="宋体"/>
                <w:kern w:val="0"/>
                <w:sz w:val="20"/>
                <w:szCs w:val="20"/>
              </w:rPr>
            </w:pPr>
            <w:r w:rsidRPr="00122F5C">
              <w:rPr>
                <w:rFonts w:ascii="宋体" w:hAnsi="宋体" w:cs="宋体" w:hint="eastAsia"/>
                <w:kern w:val="0"/>
                <w:sz w:val="20"/>
                <w:szCs w:val="20"/>
              </w:rPr>
              <w:t xml:space="preserve"> 将农村“五保老人”全部纳入五保供养范围，适时提高五保供养标准。健全五保供养机构功能。</w:t>
            </w:r>
          </w:p>
        </w:tc>
        <w:tc>
          <w:tcPr>
            <w:tcW w:w="963" w:type="dxa"/>
            <w:tcBorders>
              <w:top w:val="nil"/>
              <w:left w:val="nil"/>
              <w:bottom w:val="single" w:sz="4" w:space="0" w:color="auto"/>
              <w:right w:val="single" w:sz="4" w:space="0" w:color="auto"/>
            </w:tcBorders>
            <w:shd w:val="clear" w:color="auto" w:fill="auto"/>
            <w:vAlign w:val="center"/>
            <w:hideMark/>
          </w:tcPr>
          <w:p w:rsidR="002D7FF6" w:rsidRDefault="002D7FF6" w:rsidP="00064C93">
            <w:pPr>
              <w:widowControl/>
              <w:spacing w:line="240" w:lineRule="exact"/>
              <w:jc w:val="center"/>
              <w:rPr>
                <w:rFonts w:ascii="宋体" w:hAnsi="宋体" w:cs="宋体" w:hint="eastAsia"/>
                <w:kern w:val="0"/>
                <w:sz w:val="20"/>
                <w:szCs w:val="20"/>
              </w:rPr>
            </w:pPr>
            <w:r w:rsidRPr="00122F5C">
              <w:rPr>
                <w:rFonts w:ascii="宋体" w:hAnsi="宋体" w:cs="宋体" w:hint="eastAsia"/>
                <w:kern w:val="0"/>
                <w:sz w:val="20"/>
                <w:szCs w:val="20"/>
              </w:rPr>
              <w:t>持续</w:t>
            </w:r>
          </w:p>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实施</w:t>
            </w:r>
          </w:p>
        </w:tc>
        <w:tc>
          <w:tcPr>
            <w:tcW w:w="11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区民政局</w:t>
            </w:r>
          </w:p>
        </w:tc>
        <w:tc>
          <w:tcPr>
            <w:tcW w:w="1108"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区财政局</w:t>
            </w:r>
            <w:r w:rsidRPr="00122F5C">
              <w:rPr>
                <w:rFonts w:ascii="宋体" w:hAnsi="宋体" w:cs="宋体" w:hint="eastAsia"/>
                <w:kern w:val="0"/>
                <w:sz w:val="20"/>
                <w:szCs w:val="20"/>
              </w:rPr>
              <w:br/>
              <w:t>各街办</w:t>
            </w:r>
          </w:p>
        </w:tc>
      </w:tr>
      <w:tr w:rsidR="002D7FF6" w:rsidRPr="00122F5C" w:rsidTr="00064C93">
        <w:trPr>
          <w:trHeight w:val="794"/>
        </w:trPr>
        <w:tc>
          <w:tcPr>
            <w:tcW w:w="620" w:type="dxa"/>
            <w:vMerge/>
            <w:tcBorders>
              <w:top w:val="nil"/>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Cs w:val="21"/>
              </w:rPr>
            </w:pPr>
          </w:p>
        </w:tc>
        <w:tc>
          <w:tcPr>
            <w:tcW w:w="1060" w:type="dxa"/>
            <w:vMerge/>
            <w:tcBorders>
              <w:top w:val="nil"/>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 w:val="20"/>
                <w:szCs w:val="20"/>
              </w:rPr>
            </w:pPr>
          </w:p>
        </w:tc>
        <w:tc>
          <w:tcPr>
            <w:tcW w:w="44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left"/>
              <w:rPr>
                <w:rFonts w:ascii="宋体" w:hAnsi="宋体" w:cs="宋体"/>
                <w:kern w:val="0"/>
                <w:sz w:val="20"/>
                <w:szCs w:val="20"/>
              </w:rPr>
            </w:pPr>
            <w:r w:rsidRPr="00122F5C">
              <w:rPr>
                <w:rFonts w:ascii="宋体" w:hAnsi="宋体" w:cs="宋体" w:hint="eastAsia"/>
                <w:kern w:val="0"/>
                <w:sz w:val="20"/>
                <w:szCs w:val="20"/>
              </w:rPr>
              <w:t xml:space="preserve">  加强农村幸福院等互助性养老服务机构建设。建立协作机制，开展对口支援、邻里互组、志愿服务活动。</w:t>
            </w:r>
          </w:p>
        </w:tc>
        <w:tc>
          <w:tcPr>
            <w:tcW w:w="963"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2016年-2018年</w:t>
            </w:r>
          </w:p>
        </w:tc>
        <w:tc>
          <w:tcPr>
            <w:tcW w:w="11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区老龄办</w:t>
            </w:r>
          </w:p>
        </w:tc>
        <w:tc>
          <w:tcPr>
            <w:tcW w:w="1108"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区财政局</w:t>
            </w:r>
            <w:r w:rsidRPr="00122F5C">
              <w:rPr>
                <w:rFonts w:ascii="宋体" w:hAnsi="宋体" w:cs="宋体" w:hint="eastAsia"/>
                <w:kern w:val="0"/>
                <w:sz w:val="20"/>
                <w:szCs w:val="20"/>
              </w:rPr>
              <w:br/>
              <w:t>区文明办</w:t>
            </w:r>
            <w:r w:rsidRPr="00122F5C">
              <w:rPr>
                <w:rFonts w:ascii="宋体" w:hAnsi="宋体" w:cs="宋体" w:hint="eastAsia"/>
                <w:kern w:val="0"/>
                <w:sz w:val="20"/>
                <w:szCs w:val="20"/>
              </w:rPr>
              <w:br/>
              <w:t>各街办</w:t>
            </w:r>
          </w:p>
        </w:tc>
      </w:tr>
      <w:tr w:rsidR="002D7FF6" w:rsidRPr="00122F5C" w:rsidTr="00064C93">
        <w:trPr>
          <w:trHeight w:val="1039"/>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Cs w:val="21"/>
              </w:rPr>
            </w:pPr>
            <w:r w:rsidRPr="00122F5C">
              <w:rPr>
                <w:rFonts w:ascii="宋体" w:hAnsi="宋体" w:cs="宋体" w:hint="eastAsia"/>
                <w:kern w:val="0"/>
                <w:szCs w:val="21"/>
              </w:rPr>
              <w:t>6</w:t>
            </w:r>
          </w:p>
        </w:tc>
        <w:tc>
          <w:tcPr>
            <w:tcW w:w="10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繁荣养老服务消费市场</w:t>
            </w:r>
          </w:p>
        </w:tc>
        <w:tc>
          <w:tcPr>
            <w:tcW w:w="44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left"/>
              <w:rPr>
                <w:rFonts w:ascii="宋体" w:hAnsi="宋体" w:cs="宋体"/>
                <w:kern w:val="0"/>
                <w:sz w:val="20"/>
                <w:szCs w:val="20"/>
              </w:rPr>
            </w:pPr>
            <w:r w:rsidRPr="00122F5C">
              <w:rPr>
                <w:rFonts w:ascii="宋体" w:hAnsi="宋体" w:cs="宋体" w:hint="eastAsia"/>
                <w:kern w:val="0"/>
                <w:sz w:val="20"/>
                <w:szCs w:val="20"/>
              </w:rPr>
              <w:t xml:space="preserve">  开发和引进老年产品。培养老年产业集群，营造安全便利诚信的消费环境。</w:t>
            </w:r>
          </w:p>
        </w:tc>
        <w:tc>
          <w:tcPr>
            <w:tcW w:w="963"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2016年-2018年</w:t>
            </w:r>
          </w:p>
        </w:tc>
        <w:tc>
          <w:tcPr>
            <w:tcW w:w="11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区经贸局</w:t>
            </w:r>
          </w:p>
        </w:tc>
        <w:tc>
          <w:tcPr>
            <w:tcW w:w="1108"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工商分局</w:t>
            </w:r>
            <w:r w:rsidRPr="00122F5C">
              <w:rPr>
                <w:rFonts w:ascii="宋体" w:hAnsi="宋体" w:cs="宋体" w:hint="eastAsia"/>
                <w:kern w:val="0"/>
                <w:sz w:val="20"/>
                <w:szCs w:val="20"/>
              </w:rPr>
              <w:br/>
              <w:t>区文体广电局</w:t>
            </w:r>
            <w:r w:rsidRPr="00122F5C">
              <w:rPr>
                <w:rFonts w:ascii="宋体" w:hAnsi="宋体" w:cs="宋体" w:hint="eastAsia"/>
                <w:kern w:val="0"/>
                <w:sz w:val="20"/>
                <w:szCs w:val="20"/>
              </w:rPr>
              <w:br/>
              <w:t>区老龄办</w:t>
            </w:r>
          </w:p>
        </w:tc>
      </w:tr>
      <w:tr w:rsidR="002D7FF6" w:rsidRPr="00122F5C" w:rsidTr="00064C93">
        <w:trPr>
          <w:trHeight w:val="1270"/>
        </w:trPr>
        <w:tc>
          <w:tcPr>
            <w:tcW w:w="620" w:type="dxa"/>
            <w:vMerge w:val="restart"/>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Cs w:val="21"/>
              </w:rPr>
            </w:pPr>
            <w:r w:rsidRPr="00122F5C">
              <w:rPr>
                <w:rFonts w:ascii="宋体" w:hAnsi="宋体" w:cs="宋体" w:hint="eastAsia"/>
                <w:kern w:val="0"/>
                <w:szCs w:val="21"/>
              </w:rPr>
              <w:t>7</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积极推进医疗卫生与养老服务结合</w:t>
            </w:r>
          </w:p>
        </w:tc>
        <w:tc>
          <w:tcPr>
            <w:tcW w:w="4460" w:type="dxa"/>
            <w:vMerge w:val="restart"/>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left"/>
              <w:rPr>
                <w:rFonts w:ascii="宋体" w:hAnsi="宋体" w:cs="宋体"/>
                <w:kern w:val="0"/>
                <w:sz w:val="20"/>
                <w:szCs w:val="20"/>
              </w:rPr>
            </w:pPr>
            <w:r w:rsidRPr="00122F5C">
              <w:rPr>
                <w:rFonts w:ascii="宋体" w:hAnsi="宋体" w:cs="宋体" w:hint="eastAsia"/>
                <w:kern w:val="0"/>
                <w:sz w:val="20"/>
                <w:szCs w:val="20"/>
              </w:rPr>
              <w:t xml:space="preserve">  制定医养结合的政策措施：支持有条件的养老机构设置医疗机构。有条件的二级综合医院开设老年病科、增加老年病床数量，做好老年慢性病防治和康复护理。社区卫生服务机构应当为老年人建立健康档案，提供上门诊视、健康查体、保健咨询等服务。健全医疗保险机制，将养老机构内设医疗机构，符合条件的医疗机构纳入定点范围，入住的参保老年人按规定享受相应的待遇。</w:t>
            </w:r>
          </w:p>
        </w:tc>
        <w:tc>
          <w:tcPr>
            <w:tcW w:w="963" w:type="dxa"/>
            <w:vMerge w:val="restart"/>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2016年底前出台具体措施</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 xml:space="preserve">           区卫计局</w:t>
            </w:r>
          </w:p>
        </w:tc>
        <w:tc>
          <w:tcPr>
            <w:tcW w:w="1108" w:type="dxa"/>
            <w:vMerge w:val="restart"/>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区人社局        区民政局        区老龄办</w:t>
            </w:r>
            <w:r w:rsidRPr="00122F5C">
              <w:rPr>
                <w:rFonts w:ascii="宋体" w:hAnsi="宋体" w:cs="宋体" w:hint="eastAsia"/>
                <w:kern w:val="0"/>
                <w:sz w:val="20"/>
                <w:szCs w:val="20"/>
              </w:rPr>
              <w:br/>
              <w:t>各街办</w:t>
            </w:r>
          </w:p>
        </w:tc>
      </w:tr>
      <w:tr w:rsidR="002D7FF6" w:rsidRPr="00122F5C" w:rsidTr="00064C93">
        <w:trPr>
          <w:trHeight w:val="1238"/>
        </w:trPr>
        <w:tc>
          <w:tcPr>
            <w:tcW w:w="620" w:type="dxa"/>
            <w:vMerge/>
            <w:tcBorders>
              <w:top w:val="nil"/>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Cs w:val="21"/>
              </w:rPr>
            </w:pPr>
          </w:p>
        </w:tc>
        <w:tc>
          <w:tcPr>
            <w:tcW w:w="1060" w:type="dxa"/>
            <w:vMerge/>
            <w:tcBorders>
              <w:top w:val="nil"/>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 w:val="20"/>
                <w:szCs w:val="20"/>
              </w:rPr>
            </w:pPr>
          </w:p>
        </w:tc>
        <w:tc>
          <w:tcPr>
            <w:tcW w:w="4460" w:type="dxa"/>
            <w:vMerge/>
            <w:tcBorders>
              <w:top w:val="nil"/>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 w:val="20"/>
                <w:szCs w:val="20"/>
              </w:rPr>
            </w:pPr>
          </w:p>
        </w:tc>
        <w:tc>
          <w:tcPr>
            <w:tcW w:w="963" w:type="dxa"/>
            <w:vMerge/>
            <w:tcBorders>
              <w:top w:val="nil"/>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 w:val="20"/>
                <w:szCs w:val="20"/>
              </w:rPr>
            </w:pPr>
          </w:p>
        </w:tc>
        <w:tc>
          <w:tcPr>
            <w:tcW w:w="1160" w:type="dxa"/>
            <w:vMerge/>
            <w:tcBorders>
              <w:top w:val="nil"/>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 w:val="20"/>
                <w:szCs w:val="20"/>
              </w:rPr>
            </w:pPr>
          </w:p>
        </w:tc>
      </w:tr>
      <w:tr w:rsidR="002D7FF6" w:rsidRPr="00122F5C" w:rsidTr="00064C93">
        <w:trPr>
          <w:trHeight w:val="624"/>
        </w:trPr>
        <w:tc>
          <w:tcPr>
            <w:tcW w:w="6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Cs w:val="21"/>
              </w:rPr>
            </w:pPr>
            <w:r w:rsidRPr="00122F5C">
              <w:rPr>
                <w:rFonts w:ascii="宋体" w:hAnsi="宋体" w:cs="宋体" w:hint="eastAsia"/>
                <w:kern w:val="0"/>
                <w:szCs w:val="21"/>
              </w:rPr>
              <w:lastRenderedPageBreak/>
              <w:t>8</w:t>
            </w:r>
          </w:p>
        </w:tc>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完善投融资政策</w:t>
            </w:r>
          </w:p>
        </w:tc>
        <w:tc>
          <w:tcPr>
            <w:tcW w:w="44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left"/>
              <w:rPr>
                <w:rFonts w:ascii="宋体" w:hAnsi="宋体" w:cs="宋体"/>
                <w:kern w:val="0"/>
                <w:sz w:val="20"/>
                <w:szCs w:val="20"/>
              </w:rPr>
            </w:pPr>
            <w:r w:rsidRPr="00122F5C">
              <w:rPr>
                <w:rFonts w:ascii="宋体" w:hAnsi="宋体" w:cs="宋体" w:hint="eastAsia"/>
                <w:kern w:val="0"/>
                <w:sz w:val="20"/>
                <w:szCs w:val="20"/>
              </w:rPr>
              <w:t xml:space="preserve">  加快金融产品和服务方式创新，拓展信贷抵押担保物范围，积极支持养老服务业发展。逐步放宽限制，鼓励和支持保险资金投资养老服务领域。开展老年人住房反向抵押养老保险试点。</w:t>
            </w:r>
          </w:p>
        </w:tc>
        <w:tc>
          <w:tcPr>
            <w:tcW w:w="9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2016年-2018年</w:t>
            </w:r>
          </w:p>
        </w:tc>
        <w:tc>
          <w:tcPr>
            <w:tcW w:w="11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区金融办</w:t>
            </w:r>
          </w:p>
        </w:tc>
        <w:tc>
          <w:tcPr>
            <w:tcW w:w="11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区建住局</w:t>
            </w:r>
          </w:p>
        </w:tc>
      </w:tr>
      <w:tr w:rsidR="002D7FF6" w:rsidRPr="00122F5C" w:rsidTr="00064C93">
        <w:trPr>
          <w:trHeight w:val="930"/>
        </w:trPr>
        <w:tc>
          <w:tcPr>
            <w:tcW w:w="620" w:type="dxa"/>
            <w:vMerge/>
            <w:tcBorders>
              <w:top w:val="single" w:sz="4" w:space="0" w:color="auto"/>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Cs w:val="21"/>
              </w:rPr>
            </w:pPr>
          </w:p>
        </w:tc>
        <w:tc>
          <w:tcPr>
            <w:tcW w:w="1060" w:type="dxa"/>
            <w:vMerge/>
            <w:tcBorders>
              <w:top w:val="single" w:sz="4" w:space="0" w:color="auto"/>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 w:val="20"/>
                <w:szCs w:val="20"/>
              </w:rPr>
            </w:pPr>
          </w:p>
        </w:tc>
        <w:tc>
          <w:tcPr>
            <w:tcW w:w="4460" w:type="dxa"/>
            <w:vMerge/>
            <w:tcBorders>
              <w:top w:val="single" w:sz="4" w:space="0" w:color="auto"/>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 w:val="20"/>
                <w:szCs w:val="20"/>
              </w:rPr>
            </w:pPr>
          </w:p>
        </w:tc>
        <w:tc>
          <w:tcPr>
            <w:tcW w:w="963" w:type="dxa"/>
            <w:vMerge/>
            <w:tcBorders>
              <w:top w:val="single" w:sz="4" w:space="0" w:color="auto"/>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 w:val="20"/>
                <w:szCs w:val="20"/>
              </w:rPr>
            </w:pPr>
          </w:p>
        </w:tc>
        <w:tc>
          <w:tcPr>
            <w:tcW w:w="1160" w:type="dxa"/>
            <w:vMerge/>
            <w:tcBorders>
              <w:top w:val="single" w:sz="4" w:space="0" w:color="auto"/>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 w:val="20"/>
                <w:szCs w:val="20"/>
              </w:rPr>
            </w:pPr>
          </w:p>
        </w:tc>
        <w:tc>
          <w:tcPr>
            <w:tcW w:w="1108" w:type="dxa"/>
            <w:vMerge/>
            <w:tcBorders>
              <w:top w:val="single" w:sz="4" w:space="0" w:color="auto"/>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 w:val="20"/>
                <w:szCs w:val="20"/>
              </w:rPr>
            </w:pPr>
          </w:p>
        </w:tc>
      </w:tr>
      <w:tr w:rsidR="002D7FF6" w:rsidRPr="00122F5C" w:rsidTr="00064C93">
        <w:trPr>
          <w:trHeight w:val="624"/>
        </w:trPr>
        <w:tc>
          <w:tcPr>
            <w:tcW w:w="6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Cs w:val="21"/>
              </w:rPr>
            </w:pPr>
            <w:r w:rsidRPr="00122F5C">
              <w:rPr>
                <w:rFonts w:ascii="宋体" w:hAnsi="宋体" w:cs="宋体" w:hint="eastAsia"/>
                <w:kern w:val="0"/>
                <w:szCs w:val="21"/>
              </w:rPr>
              <w:t>9</w:t>
            </w:r>
          </w:p>
        </w:tc>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完善土地供应政策</w:t>
            </w:r>
          </w:p>
        </w:tc>
        <w:tc>
          <w:tcPr>
            <w:tcW w:w="44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left"/>
              <w:rPr>
                <w:rFonts w:ascii="宋体" w:hAnsi="宋体" w:cs="宋体"/>
                <w:kern w:val="0"/>
                <w:sz w:val="20"/>
                <w:szCs w:val="20"/>
              </w:rPr>
            </w:pPr>
            <w:r w:rsidRPr="00122F5C">
              <w:rPr>
                <w:rFonts w:ascii="宋体" w:hAnsi="宋体" w:cs="宋体" w:hint="eastAsia"/>
                <w:kern w:val="0"/>
                <w:sz w:val="20"/>
                <w:szCs w:val="20"/>
              </w:rPr>
              <w:t xml:space="preserve">  将养老服务设施建设用地纳入城乡规划和土地利用总体规划，并在国有建设用地年度利用和供应计划中予以优先安排。</w:t>
            </w:r>
          </w:p>
        </w:tc>
        <w:tc>
          <w:tcPr>
            <w:tcW w:w="9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2016年-2018年</w:t>
            </w:r>
          </w:p>
        </w:tc>
        <w:tc>
          <w:tcPr>
            <w:tcW w:w="11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国土分局</w:t>
            </w:r>
          </w:p>
        </w:tc>
        <w:tc>
          <w:tcPr>
            <w:tcW w:w="11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区民政局</w:t>
            </w:r>
            <w:r w:rsidRPr="00122F5C">
              <w:rPr>
                <w:rFonts w:ascii="宋体" w:hAnsi="宋体" w:cs="宋体" w:hint="eastAsia"/>
                <w:kern w:val="0"/>
                <w:sz w:val="20"/>
                <w:szCs w:val="20"/>
              </w:rPr>
              <w:br/>
              <w:t>区发改委         区老龄办</w:t>
            </w:r>
            <w:r w:rsidRPr="00122F5C">
              <w:rPr>
                <w:rFonts w:ascii="宋体" w:hAnsi="宋体" w:cs="宋体" w:hint="eastAsia"/>
                <w:kern w:val="0"/>
                <w:sz w:val="20"/>
                <w:szCs w:val="20"/>
              </w:rPr>
              <w:br/>
              <w:t>各街办</w:t>
            </w:r>
          </w:p>
        </w:tc>
      </w:tr>
      <w:tr w:rsidR="002D7FF6" w:rsidRPr="00122F5C" w:rsidTr="00064C93">
        <w:trPr>
          <w:trHeight w:val="1110"/>
        </w:trPr>
        <w:tc>
          <w:tcPr>
            <w:tcW w:w="620" w:type="dxa"/>
            <w:vMerge/>
            <w:tcBorders>
              <w:top w:val="nil"/>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Cs w:val="21"/>
              </w:rPr>
            </w:pPr>
          </w:p>
        </w:tc>
        <w:tc>
          <w:tcPr>
            <w:tcW w:w="1060" w:type="dxa"/>
            <w:vMerge/>
            <w:tcBorders>
              <w:top w:val="nil"/>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 w:val="20"/>
                <w:szCs w:val="20"/>
              </w:rPr>
            </w:pPr>
          </w:p>
        </w:tc>
        <w:tc>
          <w:tcPr>
            <w:tcW w:w="4460" w:type="dxa"/>
            <w:vMerge/>
            <w:tcBorders>
              <w:top w:val="nil"/>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 w:val="20"/>
                <w:szCs w:val="20"/>
              </w:rPr>
            </w:pPr>
          </w:p>
        </w:tc>
        <w:tc>
          <w:tcPr>
            <w:tcW w:w="963" w:type="dxa"/>
            <w:vMerge/>
            <w:tcBorders>
              <w:top w:val="nil"/>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 w:val="20"/>
                <w:szCs w:val="20"/>
              </w:rPr>
            </w:pPr>
          </w:p>
        </w:tc>
        <w:tc>
          <w:tcPr>
            <w:tcW w:w="1160" w:type="dxa"/>
            <w:vMerge/>
            <w:tcBorders>
              <w:top w:val="nil"/>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 w:val="20"/>
                <w:szCs w:val="20"/>
              </w:rPr>
            </w:pPr>
          </w:p>
        </w:tc>
        <w:tc>
          <w:tcPr>
            <w:tcW w:w="1108" w:type="dxa"/>
            <w:vMerge/>
            <w:tcBorders>
              <w:top w:val="nil"/>
              <w:left w:val="single" w:sz="4" w:space="0" w:color="auto"/>
              <w:bottom w:val="single" w:sz="4" w:space="0" w:color="auto"/>
              <w:right w:val="single" w:sz="4" w:space="0" w:color="auto"/>
            </w:tcBorders>
            <w:vAlign w:val="center"/>
            <w:hideMark/>
          </w:tcPr>
          <w:p w:rsidR="002D7FF6" w:rsidRPr="00122F5C" w:rsidRDefault="002D7FF6" w:rsidP="00064C93">
            <w:pPr>
              <w:widowControl/>
              <w:spacing w:line="240" w:lineRule="exact"/>
              <w:jc w:val="left"/>
              <w:rPr>
                <w:rFonts w:ascii="宋体" w:hAnsi="宋体" w:cs="宋体"/>
                <w:kern w:val="0"/>
                <w:sz w:val="20"/>
                <w:szCs w:val="20"/>
              </w:rPr>
            </w:pPr>
          </w:p>
        </w:tc>
      </w:tr>
      <w:tr w:rsidR="002D7FF6" w:rsidRPr="00122F5C" w:rsidTr="00064C93">
        <w:trPr>
          <w:trHeight w:val="136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Cs w:val="21"/>
              </w:rPr>
            </w:pPr>
            <w:r w:rsidRPr="00122F5C">
              <w:rPr>
                <w:rFonts w:ascii="宋体" w:hAnsi="宋体" w:cs="宋体" w:hint="eastAsia"/>
                <w:kern w:val="0"/>
                <w:szCs w:val="21"/>
              </w:rPr>
              <w:t>10</w:t>
            </w:r>
          </w:p>
        </w:tc>
        <w:tc>
          <w:tcPr>
            <w:tcW w:w="10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完善税费优惠政策</w:t>
            </w:r>
          </w:p>
        </w:tc>
        <w:tc>
          <w:tcPr>
            <w:tcW w:w="44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left"/>
              <w:rPr>
                <w:rFonts w:ascii="宋体" w:hAnsi="宋体" w:cs="宋体"/>
                <w:kern w:val="0"/>
                <w:sz w:val="20"/>
                <w:szCs w:val="20"/>
              </w:rPr>
            </w:pPr>
            <w:r w:rsidRPr="00122F5C">
              <w:rPr>
                <w:rFonts w:ascii="宋体" w:hAnsi="宋体" w:cs="宋体" w:hint="eastAsia"/>
                <w:kern w:val="0"/>
                <w:sz w:val="20"/>
                <w:szCs w:val="20"/>
              </w:rPr>
              <w:t xml:space="preserve">  落实好国家现行支持养老服务业的税收优惠政策。健全完善支持民间资本投资养老服务业的税收优惠政策。</w:t>
            </w:r>
          </w:p>
        </w:tc>
        <w:tc>
          <w:tcPr>
            <w:tcW w:w="963"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2016年-2018年</w:t>
            </w:r>
          </w:p>
        </w:tc>
        <w:tc>
          <w:tcPr>
            <w:tcW w:w="11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区财政局</w:t>
            </w:r>
          </w:p>
        </w:tc>
        <w:tc>
          <w:tcPr>
            <w:tcW w:w="1108"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区国税局</w:t>
            </w:r>
            <w:r w:rsidRPr="00122F5C">
              <w:rPr>
                <w:rFonts w:ascii="宋体" w:hAnsi="宋体" w:cs="宋体" w:hint="eastAsia"/>
                <w:kern w:val="0"/>
                <w:sz w:val="20"/>
                <w:szCs w:val="20"/>
              </w:rPr>
              <w:br/>
              <w:t>区地税局        区发改委        区物价局        区建住局</w:t>
            </w:r>
          </w:p>
        </w:tc>
      </w:tr>
      <w:tr w:rsidR="002D7FF6" w:rsidRPr="00122F5C" w:rsidTr="00064C93">
        <w:trPr>
          <w:trHeight w:val="126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Cs w:val="21"/>
              </w:rPr>
            </w:pPr>
            <w:r w:rsidRPr="00122F5C">
              <w:rPr>
                <w:rFonts w:ascii="宋体" w:hAnsi="宋体" w:cs="宋体" w:hint="eastAsia"/>
                <w:kern w:val="0"/>
                <w:szCs w:val="21"/>
              </w:rPr>
              <w:t>11</w:t>
            </w:r>
          </w:p>
        </w:tc>
        <w:tc>
          <w:tcPr>
            <w:tcW w:w="10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完善补助支持政策</w:t>
            </w:r>
          </w:p>
        </w:tc>
        <w:tc>
          <w:tcPr>
            <w:tcW w:w="44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left"/>
              <w:rPr>
                <w:rFonts w:ascii="宋体" w:hAnsi="宋体" w:cs="宋体"/>
                <w:kern w:val="0"/>
                <w:sz w:val="20"/>
                <w:szCs w:val="20"/>
              </w:rPr>
            </w:pPr>
            <w:r w:rsidRPr="00122F5C">
              <w:rPr>
                <w:rFonts w:ascii="宋体" w:hAnsi="宋体" w:cs="宋体" w:hint="eastAsia"/>
                <w:kern w:val="0"/>
                <w:sz w:val="20"/>
                <w:szCs w:val="20"/>
              </w:rPr>
              <w:t xml:space="preserve">  完善经济困难的高龄、失能老人补贴制度。落实50%的福彩公益金用于发展养老服务业。  </w:t>
            </w:r>
          </w:p>
        </w:tc>
        <w:tc>
          <w:tcPr>
            <w:tcW w:w="963" w:type="dxa"/>
            <w:tcBorders>
              <w:top w:val="nil"/>
              <w:left w:val="nil"/>
              <w:bottom w:val="single" w:sz="4" w:space="0" w:color="auto"/>
              <w:right w:val="single" w:sz="4" w:space="0" w:color="auto"/>
            </w:tcBorders>
            <w:shd w:val="clear" w:color="auto" w:fill="auto"/>
            <w:vAlign w:val="center"/>
            <w:hideMark/>
          </w:tcPr>
          <w:p w:rsidR="002D7FF6" w:rsidRDefault="002D7FF6" w:rsidP="00064C93">
            <w:pPr>
              <w:widowControl/>
              <w:spacing w:line="240" w:lineRule="exact"/>
              <w:jc w:val="center"/>
              <w:rPr>
                <w:rFonts w:ascii="宋体" w:hAnsi="宋体" w:cs="宋体" w:hint="eastAsia"/>
                <w:kern w:val="0"/>
                <w:sz w:val="20"/>
                <w:szCs w:val="20"/>
              </w:rPr>
            </w:pPr>
            <w:r w:rsidRPr="00122F5C">
              <w:rPr>
                <w:rFonts w:ascii="宋体" w:hAnsi="宋体" w:cs="宋体" w:hint="eastAsia"/>
                <w:kern w:val="0"/>
                <w:sz w:val="20"/>
                <w:szCs w:val="20"/>
              </w:rPr>
              <w:t>持续</w:t>
            </w:r>
          </w:p>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实施</w:t>
            </w:r>
          </w:p>
        </w:tc>
        <w:tc>
          <w:tcPr>
            <w:tcW w:w="11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区民政局</w:t>
            </w:r>
          </w:p>
        </w:tc>
        <w:tc>
          <w:tcPr>
            <w:tcW w:w="1108"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区财政局</w:t>
            </w:r>
            <w:r w:rsidRPr="00122F5C">
              <w:rPr>
                <w:rFonts w:ascii="宋体" w:hAnsi="宋体" w:cs="宋体" w:hint="eastAsia"/>
                <w:kern w:val="0"/>
                <w:sz w:val="20"/>
                <w:szCs w:val="20"/>
              </w:rPr>
              <w:br/>
              <w:t>区老龄办</w:t>
            </w:r>
            <w:r w:rsidRPr="00122F5C">
              <w:rPr>
                <w:rFonts w:ascii="宋体" w:hAnsi="宋体" w:cs="宋体" w:hint="eastAsia"/>
                <w:kern w:val="0"/>
                <w:sz w:val="20"/>
                <w:szCs w:val="20"/>
              </w:rPr>
              <w:br/>
              <w:t>各街办</w:t>
            </w:r>
          </w:p>
        </w:tc>
      </w:tr>
      <w:tr w:rsidR="002D7FF6" w:rsidRPr="00122F5C" w:rsidTr="00064C93">
        <w:trPr>
          <w:trHeight w:val="2376"/>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12</w:t>
            </w:r>
          </w:p>
        </w:tc>
        <w:tc>
          <w:tcPr>
            <w:tcW w:w="10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完善人才培养和就业政策</w:t>
            </w:r>
          </w:p>
        </w:tc>
        <w:tc>
          <w:tcPr>
            <w:tcW w:w="44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left"/>
              <w:rPr>
                <w:rFonts w:ascii="宋体" w:hAnsi="宋体" w:cs="宋体"/>
                <w:kern w:val="0"/>
                <w:sz w:val="20"/>
                <w:szCs w:val="20"/>
              </w:rPr>
            </w:pPr>
            <w:r w:rsidRPr="00122F5C">
              <w:rPr>
                <w:rFonts w:ascii="宋体" w:hAnsi="宋体" w:cs="宋体" w:hint="eastAsia"/>
                <w:kern w:val="0"/>
                <w:sz w:val="20"/>
                <w:szCs w:val="20"/>
              </w:rPr>
              <w:t xml:space="preserve">  把养老护理员技能培训纳入城乡就业培训体系。新开发的公益性岗位优先用于公办社会福利机构和农村五保供养服务机构。对在养老服务机构就业的专业技术人员，执行与医疗机构、福利机构相同的执业资格、注册考核政策。社会养老机构与公办养老机构工作人员在技术职称评定、继续教育、职业技能培训等方面享受同等待遇。</w:t>
            </w:r>
          </w:p>
        </w:tc>
        <w:tc>
          <w:tcPr>
            <w:tcW w:w="963"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2016年-2018年</w:t>
            </w:r>
          </w:p>
        </w:tc>
        <w:tc>
          <w:tcPr>
            <w:tcW w:w="11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 xml:space="preserve">区人社局  </w:t>
            </w:r>
          </w:p>
        </w:tc>
        <w:tc>
          <w:tcPr>
            <w:tcW w:w="1108"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区卫计局        区民政局</w:t>
            </w:r>
            <w:r w:rsidRPr="00122F5C">
              <w:rPr>
                <w:rFonts w:ascii="宋体" w:hAnsi="宋体" w:cs="宋体" w:hint="eastAsia"/>
                <w:kern w:val="0"/>
                <w:sz w:val="20"/>
                <w:szCs w:val="20"/>
              </w:rPr>
              <w:br/>
              <w:t>区老龄办</w:t>
            </w:r>
          </w:p>
        </w:tc>
      </w:tr>
      <w:tr w:rsidR="002D7FF6" w:rsidRPr="00122F5C" w:rsidTr="00064C93">
        <w:trPr>
          <w:trHeight w:val="127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13</w:t>
            </w:r>
          </w:p>
        </w:tc>
        <w:tc>
          <w:tcPr>
            <w:tcW w:w="10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活跃老年文化生活</w:t>
            </w:r>
          </w:p>
        </w:tc>
        <w:tc>
          <w:tcPr>
            <w:tcW w:w="44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left"/>
              <w:rPr>
                <w:rFonts w:ascii="宋体" w:hAnsi="宋体" w:cs="宋体"/>
                <w:kern w:val="0"/>
                <w:sz w:val="20"/>
                <w:szCs w:val="20"/>
              </w:rPr>
            </w:pPr>
            <w:r w:rsidRPr="00122F5C">
              <w:rPr>
                <w:rFonts w:ascii="宋体" w:hAnsi="宋体" w:cs="宋体" w:hint="eastAsia"/>
                <w:kern w:val="0"/>
                <w:sz w:val="20"/>
                <w:szCs w:val="20"/>
              </w:rPr>
              <w:t xml:space="preserve">  支持社区利用社区公共服务设施，组织开展适合老年人的群众性文化体育活动。</w:t>
            </w:r>
          </w:p>
        </w:tc>
        <w:tc>
          <w:tcPr>
            <w:tcW w:w="963"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2016年-2018年</w:t>
            </w:r>
          </w:p>
        </w:tc>
        <w:tc>
          <w:tcPr>
            <w:tcW w:w="11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区民政局</w:t>
            </w:r>
          </w:p>
        </w:tc>
        <w:tc>
          <w:tcPr>
            <w:tcW w:w="1108"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区文体广电局</w:t>
            </w:r>
            <w:r w:rsidRPr="00122F5C">
              <w:rPr>
                <w:rFonts w:ascii="宋体" w:hAnsi="宋体" w:cs="宋体" w:hint="eastAsia"/>
                <w:kern w:val="0"/>
                <w:sz w:val="20"/>
                <w:szCs w:val="20"/>
              </w:rPr>
              <w:br/>
              <w:t>区老龄办</w:t>
            </w:r>
            <w:r w:rsidRPr="00122F5C">
              <w:rPr>
                <w:rFonts w:ascii="宋体" w:hAnsi="宋体" w:cs="宋体" w:hint="eastAsia"/>
                <w:kern w:val="0"/>
                <w:sz w:val="20"/>
                <w:szCs w:val="20"/>
              </w:rPr>
              <w:br/>
              <w:t>各街办</w:t>
            </w:r>
          </w:p>
        </w:tc>
      </w:tr>
      <w:tr w:rsidR="002D7FF6" w:rsidRPr="00122F5C" w:rsidTr="00064C93">
        <w:trPr>
          <w:trHeight w:val="1062"/>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14</w:t>
            </w:r>
          </w:p>
        </w:tc>
        <w:tc>
          <w:tcPr>
            <w:tcW w:w="10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鼓励公益慈善组织支持养老服务</w:t>
            </w:r>
          </w:p>
        </w:tc>
        <w:tc>
          <w:tcPr>
            <w:tcW w:w="44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left"/>
              <w:rPr>
                <w:rFonts w:ascii="宋体" w:hAnsi="宋体" w:cs="宋体"/>
                <w:kern w:val="0"/>
                <w:sz w:val="20"/>
                <w:szCs w:val="20"/>
              </w:rPr>
            </w:pPr>
            <w:r w:rsidRPr="00122F5C">
              <w:rPr>
                <w:rFonts w:ascii="宋体" w:hAnsi="宋体" w:cs="宋体" w:hint="eastAsia"/>
                <w:kern w:val="0"/>
                <w:sz w:val="20"/>
                <w:szCs w:val="20"/>
              </w:rPr>
              <w:t xml:space="preserve">  积极引导公益慈善组织参与养老机构建设、养老产品开发、养老服务。培育发展为老服务公益慈善组织。支持社会服务窗口行业开展“敬老文明号”创建活动。</w:t>
            </w:r>
          </w:p>
        </w:tc>
        <w:tc>
          <w:tcPr>
            <w:tcW w:w="963"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2016年-2018年</w:t>
            </w:r>
          </w:p>
        </w:tc>
        <w:tc>
          <w:tcPr>
            <w:tcW w:w="11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区民政局</w:t>
            </w:r>
          </w:p>
        </w:tc>
        <w:tc>
          <w:tcPr>
            <w:tcW w:w="1108"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区老龄办</w:t>
            </w:r>
            <w:r w:rsidRPr="00122F5C">
              <w:rPr>
                <w:rFonts w:ascii="宋体" w:hAnsi="宋体" w:cs="宋体" w:hint="eastAsia"/>
                <w:kern w:val="0"/>
                <w:sz w:val="20"/>
                <w:szCs w:val="20"/>
              </w:rPr>
              <w:br/>
              <w:t>各街办</w:t>
            </w:r>
          </w:p>
        </w:tc>
      </w:tr>
      <w:tr w:rsidR="002D7FF6" w:rsidRPr="00122F5C" w:rsidTr="00064C93">
        <w:trPr>
          <w:trHeight w:val="117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15</w:t>
            </w:r>
          </w:p>
        </w:tc>
        <w:tc>
          <w:tcPr>
            <w:tcW w:w="10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强化行业监管</w:t>
            </w:r>
          </w:p>
        </w:tc>
        <w:tc>
          <w:tcPr>
            <w:tcW w:w="44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left"/>
              <w:rPr>
                <w:rFonts w:ascii="宋体" w:hAnsi="宋体" w:cs="宋体"/>
                <w:kern w:val="0"/>
                <w:sz w:val="20"/>
                <w:szCs w:val="20"/>
              </w:rPr>
            </w:pPr>
            <w:r w:rsidRPr="00122F5C">
              <w:rPr>
                <w:rFonts w:ascii="宋体" w:hAnsi="宋体" w:cs="宋体" w:hint="eastAsia"/>
                <w:kern w:val="0"/>
                <w:sz w:val="20"/>
                <w:szCs w:val="20"/>
              </w:rPr>
              <w:t xml:space="preserve">  健全完善养老机构准入、退出监管制度。积极培育和发展养老服务行业协会，建立科学合理的养老服务定价机制。健全完善养老服务的统计制度。</w:t>
            </w:r>
          </w:p>
        </w:tc>
        <w:tc>
          <w:tcPr>
            <w:tcW w:w="963"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2016年-2018年</w:t>
            </w:r>
          </w:p>
        </w:tc>
        <w:tc>
          <w:tcPr>
            <w:tcW w:w="11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区民政局</w:t>
            </w:r>
          </w:p>
        </w:tc>
        <w:tc>
          <w:tcPr>
            <w:tcW w:w="1108"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区统计局</w:t>
            </w:r>
            <w:r w:rsidRPr="00122F5C">
              <w:rPr>
                <w:rFonts w:ascii="宋体" w:hAnsi="宋体" w:cs="宋体" w:hint="eastAsia"/>
                <w:kern w:val="0"/>
                <w:sz w:val="20"/>
                <w:szCs w:val="20"/>
              </w:rPr>
              <w:br/>
              <w:t>区物价局</w:t>
            </w:r>
          </w:p>
        </w:tc>
      </w:tr>
      <w:tr w:rsidR="002D7FF6" w:rsidRPr="00122F5C" w:rsidTr="00064C93">
        <w:trPr>
          <w:trHeight w:val="130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16</w:t>
            </w:r>
          </w:p>
        </w:tc>
        <w:tc>
          <w:tcPr>
            <w:tcW w:w="10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加强督促检查</w:t>
            </w:r>
          </w:p>
        </w:tc>
        <w:tc>
          <w:tcPr>
            <w:tcW w:w="44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left"/>
              <w:rPr>
                <w:rFonts w:ascii="宋体" w:hAnsi="宋体" w:cs="宋体"/>
                <w:kern w:val="0"/>
                <w:sz w:val="20"/>
                <w:szCs w:val="20"/>
              </w:rPr>
            </w:pPr>
            <w:r w:rsidRPr="00122F5C">
              <w:rPr>
                <w:rFonts w:ascii="宋体" w:hAnsi="宋体" w:cs="宋体" w:hint="eastAsia"/>
                <w:kern w:val="0"/>
                <w:sz w:val="20"/>
                <w:szCs w:val="20"/>
              </w:rPr>
              <w:t xml:space="preserve">  将养老服务业发展纳入区政府、职能部门目标考核内容，制定考核办法，建立定期考核通报机制。</w:t>
            </w:r>
          </w:p>
        </w:tc>
        <w:tc>
          <w:tcPr>
            <w:tcW w:w="963"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2016年12月底</w:t>
            </w:r>
          </w:p>
        </w:tc>
        <w:tc>
          <w:tcPr>
            <w:tcW w:w="1160"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区考核办</w:t>
            </w:r>
          </w:p>
        </w:tc>
        <w:tc>
          <w:tcPr>
            <w:tcW w:w="1108" w:type="dxa"/>
            <w:tcBorders>
              <w:top w:val="nil"/>
              <w:left w:val="nil"/>
              <w:bottom w:val="single" w:sz="4" w:space="0" w:color="auto"/>
              <w:right w:val="single" w:sz="4" w:space="0" w:color="auto"/>
            </w:tcBorders>
            <w:shd w:val="clear" w:color="auto" w:fill="auto"/>
            <w:vAlign w:val="center"/>
            <w:hideMark/>
          </w:tcPr>
          <w:p w:rsidR="002D7FF6" w:rsidRPr="00122F5C" w:rsidRDefault="002D7FF6" w:rsidP="00064C93">
            <w:pPr>
              <w:widowControl/>
              <w:spacing w:line="240" w:lineRule="exact"/>
              <w:jc w:val="center"/>
              <w:rPr>
                <w:rFonts w:ascii="宋体" w:hAnsi="宋体" w:cs="宋体"/>
                <w:kern w:val="0"/>
                <w:sz w:val="20"/>
                <w:szCs w:val="20"/>
              </w:rPr>
            </w:pPr>
            <w:r w:rsidRPr="00122F5C">
              <w:rPr>
                <w:rFonts w:ascii="宋体" w:hAnsi="宋体" w:cs="宋体" w:hint="eastAsia"/>
                <w:kern w:val="0"/>
                <w:sz w:val="20"/>
                <w:szCs w:val="20"/>
              </w:rPr>
              <w:t>区民政局</w:t>
            </w:r>
            <w:r w:rsidRPr="00122F5C">
              <w:rPr>
                <w:rFonts w:ascii="宋体" w:hAnsi="宋体" w:cs="宋体" w:hint="eastAsia"/>
                <w:kern w:val="0"/>
                <w:sz w:val="20"/>
                <w:szCs w:val="20"/>
              </w:rPr>
              <w:br/>
              <w:t>区发改委         区老龄办</w:t>
            </w:r>
            <w:r w:rsidRPr="00122F5C">
              <w:rPr>
                <w:rFonts w:ascii="宋体" w:hAnsi="宋体" w:cs="宋体" w:hint="eastAsia"/>
                <w:kern w:val="0"/>
                <w:sz w:val="20"/>
                <w:szCs w:val="20"/>
              </w:rPr>
              <w:br/>
              <w:t>各街办</w:t>
            </w:r>
          </w:p>
        </w:tc>
      </w:tr>
    </w:tbl>
    <w:p w:rsidR="002B0A94" w:rsidRPr="002D7FF6" w:rsidRDefault="002B0A94" w:rsidP="002D7FF6">
      <w:pPr>
        <w:rPr>
          <w:szCs w:val="28"/>
        </w:rPr>
      </w:pPr>
    </w:p>
    <w:sectPr w:rsidR="002B0A94" w:rsidRPr="002D7FF6" w:rsidSect="002D7FF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7811" w:rsidRDefault="00077811" w:rsidP="001626A9">
      <w:r>
        <w:separator/>
      </w:r>
    </w:p>
  </w:endnote>
  <w:endnote w:type="continuationSeparator" w:id="1">
    <w:p w:rsidR="00077811" w:rsidRDefault="00077811" w:rsidP="001626A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7811" w:rsidRDefault="00077811" w:rsidP="001626A9">
      <w:r>
        <w:separator/>
      </w:r>
    </w:p>
  </w:footnote>
  <w:footnote w:type="continuationSeparator" w:id="1">
    <w:p w:rsidR="00077811" w:rsidRDefault="00077811" w:rsidP="001626A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26A9"/>
    <w:rsid w:val="0003068B"/>
    <w:rsid w:val="00077811"/>
    <w:rsid w:val="00152E93"/>
    <w:rsid w:val="001626A9"/>
    <w:rsid w:val="0017273E"/>
    <w:rsid w:val="002A4F7B"/>
    <w:rsid w:val="002B0A94"/>
    <w:rsid w:val="002D7FF6"/>
    <w:rsid w:val="005574DE"/>
    <w:rsid w:val="00890CC4"/>
    <w:rsid w:val="00891049"/>
    <w:rsid w:val="00AB5F10"/>
    <w:rsid w:val="00E151C0"/>
    <w:rsid w:val="00E95A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6A9"/>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26A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626A9"/>
    <w:rPr>
      <w:sz w:val="18"/>
      <w:szCs w:val="18"/>
    </w:rPr>
  </w:style>
  <w:style w:type="paragraph" w:styleId="a4">
    <w:name w:val="footer"/>
    <w:basedOn w:val="a"/>
    <w:link w:val="Char0"/>
    <w:uiPriority w:val="99"/>
    <w:semiHidden/>
    <w:unhideWhenUsed/>
    <w:rsid w:val="001626A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626A9"/>
    <w:rPr>
      <w:sz w:val="18"/>
      <w:szCs w:val="18"/>
    </w:rPr>
  </w:style>
</w:styles>
</file>

<file path=word/webSettings.xml><?xml version="1.0" encoding="utf-8"?>
<w:webSettings xmlns:r="http://schemas.openxmlformats.org/officeDocument/2006/relationships" xmlns:w="http://schemas.openxmlformats.org/wordprocessingml/2006/main">
  <w:divs>
    <w:div w:id="83429051">
      <w:bodyDiv w:val="1"/>
      <w:marLeft w:val="0"/>
      <w:marRight w:val="0"/>
      <w:marTop w:val="0"/>
      <w:marBottom w:val="0"/>
      <w:divBdr>
        <w:top w:val="none" w:sz="0" w:space="0" w:color="auto"/>
        <w:left w:val="none" w:sz="0" w:space="0" w:color="auto"/>
        <w:bottom w:val="none" w:sz="0" w:space="0" w:color="auto"/>
        <w:right w:val="none" w:sz="0" w:space="0" w:color="auto"/>
      </w:divBdr>
    </w:div>
    <w:div w:id="720666455">
      <w:bodyDiv w:val="1"/>
      <w:marLeft w:val="0"/>
      <w:marRight w:val="0"/>
      <w:marTop w:val="0"/>
      <w:marBottom w:val="0"/>
      <w:divBdr>
        <w:top w:val="none" w:sz="0" w:space="0" w:color="auto"/>
        <w:left w:val="none" w:sz="0" w:space="0" w:color="auto"/>
        <w:bottom w:val="none" w:sz="0" w:space="0" w:color="auto"/>
        <w:right w:val="none" w:sz="0" w:space="0" w:color="auto"/>
      </w:divBdr>
    </w:div>
    <w:div w:id="960187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342</Words>
  <Characters>1950</Characters>
  <Application>Microsoft Office Word</Application>
  <DocSecurity>0</DocSecurity>
  <Lines>16</Lines>
  <Paragraphs>4</Paragraphs>
  <ScaleCrop>false</ScaleCrop>
  <Company>微软中国</Company>
  <LinksUpToDate>false</LinksUpToDate>
  <CharactersWithSpaces>2288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9</cp:revision>
  <dcterms:created xsi:type="dcterms:W3CDTF">2016-06-06T03:01:00Z</dcterms:created>
  <dcterms:modified xsi:type="dcterms:W3CDTF">2016-07-19T08:57:00Z</dcterms:modified>
</cp:coreProperties>
</file>