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DD1" w:rsidRDefault="00421DD1" w:rsidP="00421DD1">
      <w:pPr>
        <w:rPr>
          <w:rFonts w:ascii="黑体" w:eastAsia="黑体"/>
          <w:sz w:val="32"/>
          <w:szCs w:val="32"/>
        </w:rPr>
      </w:pPr>
      <w:r>
        <w:rPr>
          <w:rFonts w:ascii="黑体" w:eastAsia="黑体" w:hint="eastAsia"/>
          <w:sz w:val="32"/>
          <w:szCs w:val="32"/>
        </w:rPr>
        <w:t xml:space="preserve">附件 </w:t>
      </w:r>
    </w:p>
    <w:p w:rsidR="00421DD1" w:rsidRDefault="00421DD1" w:rsidP="00421DD1">
      <w:pPr>
        <w:ind w:firstLineChars="200" w:firstLine="720"/>
        <w:jc w:val="center"/>
        <w:rPr>
          <w:rFonts w:ascii="方正小标宋简体" w:eastAsia="方正小标宋简体" w:hint="eastAsia"/>
          <w:sz w:val="36"/>
          <w:szCs w:val="36"/>
        </w:rPr>
      </w:pPr>
      <w:r>
        <w:rPr>
          <w:rFonts w:ascii="方正小标宋简体" w:eastAsia="方正小标宋简体" w:hint="eastAsia"/>
          <w:sz w:val="36"/>
          <w:szCs w:val="36"/>
        </w:rPr>
        <w:t>临潼区突出环境问题整改及督导任务清单</w:t>
      </w:r>
    </w:p>
    <w:tbl>
      <w:tblPr>
        <w:tblW w:w="14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268"/>
        <w:gridCol w:w="6021"/>
        <w:gridCol w:w="1440"/>
        <w:gridCol w:w="1980"/>
        <w:gridCol w:w="1980"/>
      </w:tblGrid>
      <w:tr w:rsidR="00421DD1" w:rsidTr="00421DD1">
        <w:trPr>
          <w:cantSplit/>
          <w:trHeight w:val="723"/>
          <w:tblHeader/>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b/>
                <w:sz w:val="24"/>
              </w:rPr>
            </w:pPr>
            <w:r>
              <w:rPr>
                <w:rFonts w:hAnsi="宋体" w:hint="eastAsia"/>
                <w:b/>
                <w:sz w:val="24"/>
              </w:rPr>
              <w:t>序号</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b/>
                <w:sz w:val="24"/>
              </w:rPr>
            </w:pPr>
            <w:r>
              <w:rPr>
                <w:rFonts w:hAnsi="宋体" w:hint="eastAsia"/>
                <w:b/>
                <w:sz w:val="24"/>
              </w:rPr>
              <w:t>企业名称</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b/>
                <w:sz w:val="24"/>
              </w:rPr>
            </w:pPr>
            <w:r>
              <w:rPr>
                <w:rFonts w:hAnsi="宋体" w:hint="eastAsia"/>
                <w:b/>
                <w:sz w:val="24"/>
              </w:rPr>
              <w:t>环境问题</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b/>
                <w:sz w:val="24"/>
              </w:rPr>
            </w:pPr>
            <w:r>
              <w:rPr>
                <w:rFonts w:hAnsi="宋体" w:hint="eastAsia"/>
                <w:b/>
                <w:sz w:val="24"/>
              </w:rPr>
              <w:t>责任单位</w:t>
            </w: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b/>
                <w:sz w:val="24"/>
              </w:rPr>
            </w:pPr>
            <w:r>
              <w:rPr>
                <w:rFonts w:hAnsi="宋体" w:hint="eastAsia"/>
                <w:b/>
                <w:sz w:val="24"/>
              </w:rPr>
              <w:t>配合单位</w:t>
            </w: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b/>
                <w:sz w:val="24"/>
              </w:rPr>
            </w:pPr>
            <w:r>
              <w:rPr>
                <w:rFonts w:hAnsi="宋体" w:hint="eastAsia"/>
                <w:b/>
                <w:sz w:val="24"/>
              </w:rPr>
              <w:t>督办单位</w:t>
            </w:r>
          </w:p>
        </w:tc>
      </w:tr>
      <w:tr w:rsidR="00421DD1" w:rsidTr="00421DD1">
        <w:trPr>
          <w:cantSplit/>
          <w:trHeight w:val="1064"/>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陕西建设钢构有限公司</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主体工程未经竣工环保验收投入使用。</w:t>
            </w:r>
          </w:p>
        </w:tc>
        <w:tc>
          <w:tcPr>
            <w:tcW w:w="1440"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环保分局</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区发改委、国土分局、规划分局</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1231"/>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2</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陕西双科金属结构有限公司</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引入多个工业生产项目未批先建，未经环保验收投入生产。</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918"/>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3</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陕西银河电力杆塔有限责任公司</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未经环保验收投入生产。</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1085"/>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4</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西安华盛铝业有限公司</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未报批环评手续，建成并投产装饰用铝板及水性涂料生产线。</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旅游商贸开发区管委会</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rFonts w:ascii="Times New Roman" w:hAnsi="Times New Roman"/>
                <w:color w:val="000000"/>
                <w:sz w:val="24"/>
              </w:rPr>
            </w:pPr>
            <w:r>
              <w:rPr>
                <w:rFonts w:hAnsi="宋体" w:hint="eastAsia"/>
                <w:color w:val="000000"/>
                <w:sz w:val="24"/>
              </w:rPr>
              <w:t>环保分局、</w:t>
            </w:r>
          </w:p>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1085"/>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5</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西安临潼开发区博仁医院</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未批先建，于</w:t>
            </w:r>
            <w:r>
              <w:rPr>
                <w:color w:val="000000"/>
                <w:sz w:val="24"/>
              </w:rPr>
              <w:t>2013</w:t>
            </w:r>
            <w:r>
              <w:rPr>
                <w:rFonts w:hAnsi="宋体" w:hint="eastAsia"/>
                <w:color w:val="000000"/>
                <w:sz w:val="24"/>
              </w:rPr>
              <w:t>年</w:t>
            </w:r>
            <w:r>
              <w:rPr>
                <w:color w:val="000000"/>
                <w:sz w:val="24"/>
              </w:rPr>
              <w:t>12</w:t>
            </w:r>
            <w:r>
              <w:rPr>
                <w:rFonts w:hAnsi="宋体" w:hint="eastAsia"/>
                <w:color w:val="000000"/>
                <w:sz w:val="24"/>
              </w:rPr>
              <w:t>月建成并擅自投入使用。</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环保分局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1398"/>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lastRenderedPageBreak/>
              <w:t>6</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西安同乐工贸责任有限公司</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项目于</w:t>
            </w:r>
            <w:r>
              <w:rPr>
                <w:color w:val="000000"/>
                <w:sz w:val="24"/>
              </w:rPr>
              <w:t>2009</w:t>
            </w:r>
            <w:r>
              <w:rPr>
                <w:rFonts w:hAnsi="宋体" w:hint="eastAsia"/>
                <w:color w:val="000000"/>
                <w:sz w:val="24"/>
              </w:rPr>
              <w:t>年办理了环评手续，主体工程已建成，因办理游乐设备生产许可证，停产中，未执行</w:t>
            </w:r>
            <w:r>
              <w:rPr>
                <w:color w:val="000000"/>
                <w:sz w:val="24"/>
              </w:rPr>
              <w:t>“</w:t>
            </w:r>
            <w:r>
              <w:rPr>
                <w:rFonts w:hAnsi="宋体" w:hint="eastAsia"/>
                <w:color w:val="000000"/>
                <w:sz w:val="24"/>
              </w:rPr>
              <w:t>三同时</w:t>
            </w:r>
            <w:r>
              <w:rPr>
                <w:color w:val="000000"/>
                <w:sz w:val="24"/>
              </w:rPr>
              <w:t>”</w:t>
            </w:r>
            <w:r>
              <w:rPr>
                <w:rFonts w:hAnsi="宋体" w:hint="eastAsia"/>
                <w:color w:val="000000"/>
                <w:sz w:val="24"/>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旅游商贸开发区管委会</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rFonts w:ascii="Times New Roman" w:hAnsi="Times New Roman"/>
                <w:color w:val="000000"/>
                <w:sz w:val="24"/>
              </w:rPr>
            </w:pPr>
            <w:r>
              <w:rPr>
                <w:rFonts w:hAnsi="宋体" w:hint="eastAsia"/>
                <w:color w:val="000000"/>
                <w:sz w:val="24"/>
              </w:rPr>
              <w:t>环保分局、</w:t>
            </w:r>
          </w:p>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1068"/>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7</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西安芷阳湖旅游开发有限公司</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该项目无规划、土地手续，未报批环评手续，于</w:t>
            </w:r>
            <w:r>
              <w:rPr>
                <w:color w:val="000000"/>
                <w:sz w:val="24"/>
              </w:rPr>
              <w:t>2013</w:t>
            </w:r>
            <w:r>
              <w:rPr>
                <w:rFonts w:hAnsi="宋体" w:hint="eastAsia"/>
                <w:color w:val="000000"/>
                <w:sz w:val="24"/>
              </w:rPr>
              <w:t>年擅自在临潼旅游休闲度假区开工建设芷阳湖石榴生态休闲庄园项目，已建成芷阳温泉、温泉独院、茶苑、游泳池等设施，其中温泉独院与生态美食等建成部分已投入使用。</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环保分局</w:t>
            </w: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旅游休闲度假区管委会</w:t>
            </w: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1167"/>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8</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西安市临潼区代新工业园污水处理厂</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未办理环评审批手续，未批先建；园区污水处理厂建设滞后。</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旅游商贸开发区管委会</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区发改委、国土分局、规划分局</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rFonts w:ascii="Times New Roman" w:hAnsi="Times New Roman"/>
                <w:color w:val="000000"/>
                <w:sz w:val="24"/>
              </w:rPr>
            </w:pPr>
            <w:r>
              <w:rPr>
                <w:rFonts w:hAnsi="宋体" w:hint="eastAsia"/>
                <w:color w:val="000000"/>
                <w:sz w:val="24"/>
              </w:rPr>
              <w:t>环保分局、</w:t>
            </w:r>
          </w:p>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738"/>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9</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西安渭北工业区临潼现代工业组团</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园区未编制环境应急预案；园区的污水处理厂建设滞后。</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临潼现代工业组团管委会</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781"/>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10</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临潼区灵川湖养猪场</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color w:val="000000"/>
                <w:sz w:val="24"/>
              </w:rPr>
              <w:t>1996</w:t>
            </w:r>
            <w:r>
              <w:rPr>
                <w:rFonts w:hAnsi="宋体" w:hint="eastAsia"/>
                <w:color w:val="000000"/>
                <w:sz w:val="24"/>
              </w:rPr>
              <w:t>年运行至今未办理环保审批手续；地埋式沼气设备未运行。</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环保分局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748"/>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11</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临潼区灵川湖养猪场</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养殖区紧邻村庄。</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区农林局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rFonts w:ascii="Times New Roman" w:hAnsi="Times New Roman"/>
                <w:color w:val="000000"/>
                <w:sz w:val="24"/>
              </w:rPr>
            </w:pPr>
            <w:r>
              <w:rPr>
                <w:rFonts w:hAnsi="宋体" w:hint="eastAsia"/>
                <w:color w:val="000000"/>
                <w:sz w:val="24"/>
              </w:rPr>
              <w:t>环保分局、</w:t>
            </w:r>
          </w:p>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728"/>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12</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西安花莉养殖专业合作社</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color w:val="000000"/>
                <w:sz w:val="24"/>
              </w:rPr>
              <w:t>2011</w:t>
            </w:r>
            <w:r>
              <w:rPr>
                <w:rFonts w:hAnsi="宋体" w:hint="eastAsia"/>
                <w:color w:val="000000"/>
                <w:sz w:val="24"/>
              </w:rPr>
              <w:t>年运行至今未办理环保审批手续，堆肥厂至今未建设完成。</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环保分局</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2018"/>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lastRenderedPageBreak/>
              <w:t>13</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西安益鹏金属材料有限公司</w:t>
            </w:r>
          </w:p>
        </w:tc>
        <w:tc>
          <w:tcPr>
            <w:tcW w:w="6021"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color w:val="000000"/>
                <w:sz w:val="24"/>
              </w:rPr>
              <w:t>1.</w:t>
            </w:r>
            <w:r>
              <w:rPr>
                <w:rFonts w:hAnsi="宋体" w:hint="eastAsia"/>
                <w:color w:val="000000"/>
                <w:sz w:val="24"/>
              </w:rPr>
              <w:t>无排污许可证；</w:t>
            </w:r>
            <w:r>
              <w:rPr>
                <w:color w:val="000000"/>
                <w:sz w:val="24"/>
              </w:rPr>
              <w:t>2.</w:t>
            </w:r>
            <w:r>
              <w:rPr>
                <w:rFonts w:hAnsi="宋体" w:hint="eastAsia"/>
                <w:color w:val="000000"/>
                <w:sz w:val="24"/>
              </w:rPr>
              <w:t>环境应急预案未备案；</w:t>
            </w:r>
            <w:r>
              <w:rPr>
                <w:color w:val="000000"/>
                <w:sz w:val="24"/>
              </w:rPr>
              <w:t>3.</w:t>
            </w:r>
            <w:r>
              <w:rPr>
                <w:rFonts w:hAnsi="宋体" w:hint="eastAsia"/>
                <w:color w:val="000000"/>
                <w:sz w:val="24"/>
              </w:rPr>
              <w:t>未按环评要求设置排污口，感应炉产生废气经布袋除尘后由除尘器顶部散排，无组织排放，无除尘设备运行记录，无感应炉运行记录；</w:t>
            </w:r>
            <w:r>
              <w:rPr>
                <w:color w:val="000000"/>
                <w:sz w:val="24"/>
              </w:rPr>
              <w:t>4.</w:t>
            </w:r>
            <w:r>
              <w:rPr>
                <w:rFonts w:hAnsi="宋体" w:hint="eastAsia"/>
                <w:color w:val="000000"/>
                <w:sz w:val="24"/>
              </w:rPr>
              <w:t>建设</w:t>
            </w:r>
            <w:r>
              <w:rPr>
                <w:color w:val="000000"/>
                <w:sz w:val="24"/>
              </w:rPr>
              <w:t>1</w:t>
            </w:r>
            <w:r>
              <w:rPr>
                <w:rFonts w:hAnsi="宋体" w:hint="eastAsia"/>
                <w:color w:val="000000"/>
                <w:sz w:val="24"/>
              </w:rPr>
              <w:t>台煤气发生炉和</w:t>
            </w:r>
            <w:r>
              <w:rPr>
                <w:color w:val="000000"/>
                <w:sz w:val="24"/>
              </w:rPr>
              <w:t>1</w:t>
            </w:r>
            <w:r>
              <w:rPr>
                <w:rFonts w:hAnsi="宋体" w:hint="eastAsia"/>
                <w:color w:val="000000"/>
                <w:sz w:val="24"/>
              </w:rPr>
              <w:t>条隧道窑，未进行环评，环保分局已于</w:t>
            </w:r>
            <w:smartTag w:uri="urn:schemas-microsoft-com:office:smarttags" w:element="chsdate">
              <w:smartTagPr>
                <w:attr w:name="Year" w:val="2016"/>
                <w:attr w:name="Month" w:val="4"/>
                <w:attr w:name="Day" w:val="13"/>
                <w:attr w:name="IsLunarDate" w:val="False"/>
                <w:attr w:name="IsROCDate" w:val="False"/>
              </w:smartTagPr>
              <w:r>
                <w:rPr>
                  <w:color w:val="000000"/>
                  <w:sz w:val="24"/>
                </w:rPr>
                <w:t>2016</w:t>
              </w:r>
              <w:r>
                <w:rPr>
                  <w:rFonts w:hAnsi="宋体" w:hint="eastAsia"/>
                  <w:color w:val="000000"/>
                  <w:sz w:val="24"/>
                </w:rPr>
                <w:t>年</w:t>
              </w:r>
              <w:r>
                <w:rPr>
                  <w:color w:val="000000"/>
                  <w:sz w:val="24"/>
                </w:rPr>
                <w:t>4</w:t>
              </w:r>
              <w:r>
                <w:rPr>
                  <w:rFonts w:hAnsi="宋体" w:hint="eastAsia"/>
                  <w:color w:val="000000"/>
                  <w:sz w:val="24"/>
                </w:rPr>
                <w:t>月</w:t>
              </w:r>
              <w:r>
                <w:rPr>
                  <w:color w:val="000000"/>
                  <w:sz w:val="24"/>
                </w:rPr>
                <w:t>13</w:t>
              </w:r>
              <w:r>
                <w:rPr>
                  <w:rFonts w:hAnsi="宋体" w:hint="eastAsia"/>
                  <w:color w:val="000000"/>
                  <w:sz w:val="24"/>
                </w:rPr>
                <w:t>日</w:t>
              </w:r>
            </w:smartTag>
            <w:r>
              <w:rPr>
                <w:rFonts w:hAnsi="宋体" w:hint="eastAsia"/>
                <w:color w:val="000000"/>
                <w:sz w:val="24"/>
              </w:rPr>
              <w:t>查封。</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环保分局</w:t>
            </w: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color w:val="000000"/>
                <w:sz w:val="24"/>
              </w:rPr>
              <w:t xml:space="preserve"> </w:t>
            </w:r>
          </w:p>
        </w:tc>
        <w:tc>
          <w:tcPr>
            <w:tcW w:w="198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971"/>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14</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临潼区代王街办综合连片整治项目</w:t>
            </w:r>
          </w:p>
        </w:tc>
        <w:tc>
          <w:tcPr>
            <w:tcW w:w="6021"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color w:val="000000"/>
                <w:sz w:val="24"/>
              </w:rPr>
              <w:t xml:space="preserve">1. </w:t>
            </w:r>
            <w:r>
              <w:rPr>
                <w:rFonts w:hAnsi="宋体" w:hint="eastAsia"/>
                <w:color w:val="000000"/>
                <w:sz w:val="24"/>
              </w:rPr>
              <w:t>无专业运维人员和专项经费支持，污处设施运行不正常；</w:t>
            </w:r>
            <w:r>
              <w:rPr>
                <w:color w:val="000000"/>
                <w:sz w:val="24"/>
              </w:rPr>
              <w:t xml:space="preserve">2. </w:t>
            </w:r>
            <w:r>
              <w:rPr>
                <w:rFonts w:hAnsi="宋体" w:hint="eastAsia"/>
                <w:color w:val="000000"/>
                <w:sz w:val="24"/>
              </w:rPr>
              <w:t>污水处理设施基本均采用</w:t>
            </w:r>
            <w:r>
              <w:rPr>
                <w:color w:val="000000"/>
                <w:sz w:val="24"/>
              </w:rPr>
              <w:t>A2O+</w:t>
            </w:r>
            <w:r>
              <w:rPr>
                <w:rFonts w:hAnsi="宋体" w:hint="eastAsia"/>
                <w:color w:val="000000"/>
                <w:sz w:val="24"/>
              </w:rPr>
              <w:t>人工湿地处理方式，未设计、建设污泥压滤、加药设备，无法保证持续、稳定排放；</w:t>
            </w:r>
            <w:r>
              <w:rPr>
                <w:color w:val="000000"/>
                <w:sz w:val="24"/>
              </w:rPr>
              <w:t xml:space="preserve">3. </w:t>
            </w:r>
            <w:r>
              <w:rPr>
                <w:rFonts w:hAnsi="宋体" w:hint="eastAsia"/>
                <w:color w:val="000000"/>
                <w:sz w:val="24"/>
              </w:rPr>
              <w:t>污水收集管网建设不到位，污水处理设施仅能对周边少数村镇部分生活污水收集处理，大部分生活污水无法进入处理设施直排，也会导致污水处理设施计划处理能力大于实际处理能力，无法保证活性污泥正常存活。</w:t>
            </w: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代王街办</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区财政局</w:t>
            </w:r>
          </w:p>
        </w:tc>
        <w:tc>
          <w:tcPr>
            <w:tcW w:w="1980" w:type="dxa"/>
            <w:vMerge w:val="restart"/>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rFonts w:ascii="Times New Roman" w:hAnsi="Times New Roman"/>
                <w:color w:val="000000"/>
                <w:sz w:val="24"/>
              </w:rPr>
            </w:pPr>
            <w:r>
              <w:rPr>
                <w:rFonts w:hAnsi="宋体" w:hint="eastAsia"/>
                <w:color w:val="000000"/>
                <w:sz w:val="24"/>
              </w:rPr>
              <w:t>环保分局、</w:t>
            </w:r>
          </w:p>
          <w:p w:rsidR="00421DD1" w:rsidRDefault="00421DD1">
            <w:pPr>
              <w:spacing w:line="320" w:lineRule="exact"/>
              <w:jc w:val="center"/>
              <w:rPr>
                <w:color w:val="000000"/>
                <w:sz w:val="24"/>
              </w:rPr>
            </w:pPr>
            <w:r>
              <w:rPr>
                <w:rFonts w:hAnsi="宋体" w:hint="eastAsia"/>
                <w:color w:val="000000"/>
                <w:sz w:val="24"/>
              </w:rPr>
              <w:t>区政府督查室</w:t>
            </w:r>
          </w:p>
        </w:tc>
      </w:tr>
      <w:tr w:rsidR="00421DD1" w:rsidTr="00421DD1">
        <w:trPr>
          <w:cantSplit/>
          <w:trHeight w:val="970"/>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15</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临潼区相桥街办综合连片整治项目</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相桥街办</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841"/>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16</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临潼区油槐街办综合连片整治项目</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油槐街办</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840"/>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17</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临潼区交口街办综合连片整治项目</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交口街办</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906"/>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18</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临潼区新市街办综合连片整治项目</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新市街办</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957"/>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lastRenderedPageBreak/>
              <w:t>19</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临潼区栎阳街办综合连片整治项目</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栎阳街办</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r w:rsidR="00421DD1" w:rsidTr="00421DD1">
        <w:trPr>
          <w:cantSplit/>
          <w:trHeight w:val="985"/>
        </w:trPr>
        <w:tc>
          <w:tcPr>
            <w:tcW w:w="534"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sz w:val="24"/>
              </w:rPr>
            </w:pPr>
            <w:r>
              <w:rPr>
                <w:sz w:val="24"/>
              </w:rPr>
              <w:t>20</w:t>
            </w:r>
          </w:p>
        </w:tc>
        <w:tc>
          <w:tcPr>
            <w:tcW w:w="2268"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rPr>
                <w:color w:val="000000"/>
                <w:sz w:val="24"/>
              </w:rPr>
            </w:pPr>
            <w:r>
              <w:rPr>
                <w:rFonts w:hAnsi="宋体" w:hint="eastAsia"/>
                <w:color w:val="000000"/>
                <w:sz w:val="24"/>
              </w:rPr>
              <w:t>临潼区雨金街办综合连片整治项目</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421DD1" w:rsidRDefault="00421DD1">
            <w:pPr>
              <w:spacing w:line="320" w:lineRule="exact"/>
              <w:jc w:val="center"/>
              <w:rPr>
                <w:color w:val="000000"/>
                <w:sz w:val="24"/>
              </w:rPr>
            </w:pPr>
            <w:r>
              <w:rPr>
                <w:rFonts w:hAnsi="宋体" w:hint="eastAsia"/>
                <w:color w:val="000000"/>
                <w:sz w:val="24"/>
              </w:rPr>
              <w:t>雨金街办</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21DD1" w:rsidRDefault="00421DD1">
            <w:pPr>
              <w:widowControl/>
              <w:jc w:val="left"/>
              <w:rPr>
                <w:color w:val="000000"/>
                <w:sz w:val="24"/>
              </w:rPr>
            </w:pPr>
          </w:p>
        </w:tc>
      </w:tr>
    </w:tbl>
    <w:p w:rsidR="00421DD1" w:rsidRDefault="00421DD1" w:rsidP="00421DD1">
      <w:pPr>
        <w:shd w:val="clear" w:color="auto" w:fill="FFFFFF"/>
        <w:spacing w:line="360" w:lineRule="atLeast"/>
        <w:rPr>
          <w:rFonts w:ascii="Times New Roman" w:hAnsi="Times New Roman" w:hint="eastAsia"/>
        </w:rPr>
      </w:pPr>
    </w:p>
    <w:p w:rsidR="00421DD1" w:rsidRDefault="00421DD1" w:rsidP="00421DD1">
      <w:pPr>
        <w:shd w:val="clear" w:color="auto" w:fill="FFFFFF"/>
        <w:spacing w:line="360" w:lineRule="atLeast"/>
      </w:pPr>
    </w:p>
    <w:p w:rsidR="00421DD1" w:rsidRDefault="00421DD1" w:rsidP="00421DD1">
      <w:pPr>
        <w:shd w:val="clear" w:color="auto" w:fill="FFFFFF"/>
        <w:spacing w:line="360" w:lineRule="atLeast"/>
      </w:pPr>
    </w:p>
    <w:p w:rsidR="002B0A94" w:rsidRPr="008B159C" w:rsidRDefault="002B0A94" w:rsidP="008B159C">
      <w:pPr>
        <w:rPr>
          <w:szCs w:val="28"/>
        </w:rPr>
      </w:pPr>
    </w:p>
    <w:sectPr w:rsidR="002B0A94" w:rsidRPr="008B159C" w:rsidSect="00421DD1">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216E" w:rsidRDefault="0048216E" w:rsidP="001626A9">
      <w:r>
        <w:separator/>
      </w:r>
    </w:p>
  </w:endnote>
  <w:endnote w:type="continuationSeparator" w:id="1">
    <w:p w:rsidR="0048216E" w:rsidRDefault="0048216E"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216E" w:rsidRDefault="0048216E" w:rsidP="001626A9">
      <w:r>
        <w:separator/>
      </w:r>
    </w:p>
  </w:footnote>
  <w:footnote w:type="continuationSeparator" w:id="1">
    <w:p w:rsidR="0048216E" w:rsidRDefault="0048216E"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5">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3">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4">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10"/>
  </w:num>
  <w:num w:numId="3">
    <w:abstractNumId w:val="1"/>
  </w:num>
  <w:num w:numId="4">
    <w:abstractNumId w:val="5"/>
  </w:num>
  <w:num w:numId="5">
    <w:abstractNumId w:val="14"/>
  </w:num>
  <w:num w:numId="6">
    <w:abstractNumId w:val="15"/>
  </w:num>
  <w:num w:numId="7">
    <w:abstractNumId w:val="6"/>
  </w:num>
  <w:num w:numId="8">
    <w:abstractNumId w:val="0"/>
  </w:num>
  <w:num w:numId="9">
    <w:abstractNumId w:val="2"/>
  </w:num>
  <w:num w:numId="10">
    <w:abstractNumId w:val="8"/>
  </w:num>
  <w:num w:numId="11">
    <w:abstractNumId w:val="11"/>
  </w:num>
  <w:num w:numId="12">
    <w:abstractNumId w:val="3"/>
  </w:num>
  <w:num w:numId="13">
    <w:abstractNumId w:val="4"/>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2"/>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70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67C4"/>
    <w:rsid w:val="00014A95"/>
    <w:rsid w:val="00015F5A"/>
    <w:rsid w:val="000162F3"/>
    <w:rsid w:val="00017E41"/>
    <w:rsid w:val="0003068B"/>
    <w:rsid w:val="00035690"/>
    <w:rsid w:val="0007614F"/>
    <w:rsid w:val="00077811"/>
    <w:rsid w:val="000828B3"/>
    <w:rsid w:val="00082F65"/>
    <w:rsid w:val="000A5CF8"/>
    <w:rsid w:val="000D4144"/>
    <w:rsid w:val="00100784"/>
    <w:rsid w:val="00152E93"/>
    <w:rsid w:val="001626A9"/>
    <w:rsid w:val="0017273E"/>
    <w:rsid w:val="001921DE"/>
    <w:rsid w:val="001A2705"/>
    <w:rsid w:val="001B70E3"/>
    <w:rsid w:val="001F10E1"/>
    <w:rsid w:val="00242DBF"/>
    <w:rsid w:val="00274C24"/>
    <w:rsid w:val="002A32D5"/>
    <w:rsid w:val="002A4F7B"/>
    <w:rsid w:val="002B0A94"/>
    <w:rsid w:val="002B5D5D"/>
    <w:rsid w:val="002D7FF6"/>
    <w:rsid w:val="0030159C"/>
    <w:rsid w:val="0032774F"/>
    <w:rsid w:val="00330907"/>
    <w:rsid w:val="003344AC"/>
    <w:rsid w:val="00334B34"/>
    <w:rsid w:val="003553AE"/>
    <w:rsid w:val="003703AF"/>
    <w:rsid w:val="0037325B"/>
    <w:rsid w:val="00390D4D"/>
    <w:rsid w:val="00405228"/>
    <w:rsid w:val="00421DD1"/>
    <w:rsid w:val="00466873"/>
    <w:rsid w:val="0048216E"/>
    <w:rsid w:val="00485186"/>
    <w:rsid w:val="004C380A"/>
    <w:rsid w:val="00546FEE"/>
    <w:rsid w:val="005574DE"/>
    <w:rsid w:val="005657E5"/>
    <w:rsid w:val="00581EF1"/>
    <w:rsid w:val="005918F2"/>
    <w:rsid w:val="005B6429"/>
    <w:rsid w:val="005E779F"/>
    <w:rsid w:val="00621859"/>
    <w:rsid w:val="00654667"/>
    <w:rsid w:val="0065533B"/>
    <w:rsid w:val="006624CE"/>
    <w:rsid w:val="0068145C"/>
    <w:rsid w:val="00694642"/>
    <w:rsid w:val="006D4957"/>
    <w:rsid w:val="006E67FE"/>
    <w:rsid w:val="006E6B5E"/>
    <w:rsid w:val="006F72ED"/>
    <w:rsid w:val="00711608"/>
    <w:rsid w:val="00712FEA"/>
    <w:rsid w:val="00735370"/>
    <w:rsid w:val="0079098D"/>
    <w:rsid w:val="007C6699"/>
    <w:rsid w:val="007C7BC9"/>
    <w:rsid w:val="007D245B"/>
    <w:rsid w:val="0084075F"/>
    <w:rsid w:val="00876076"/>
    <w:rsid w:val="00887F8A"/>
    <w:rsid w:val="00890CC4"/>
    <w:rsid w:val="00891049"/>
    <w:rsid w:val="0089773E"/>
    <w:rsid w:val="008A17B0"/>
    <w:rsid w:val="008A3FD5"/>
    <w:rsid w:val="008A7A5F"/>
    <w:rsid w:val="008B159C"/>
    <w:rsid w:val="008B3B52"/>
    <w:rsid w:val="008C79A1"/>
    <w:rsid w:val="008F576B"/>
    <w:rsid w:val="00914C83"/>
    <w:rsid w:val="00936DBE"/>
    <w:rsid w:val="00940309"/>
    <w:rsid w:val="0098797D"/>
    <w:rsid w:val="009A42D3"/>
    <w:rsid w:val="009B453A"/>
    <w:rsid w:val="009E03A3"/>
    <w:rsid w:val="009E0F60"/>
    <w:rsid w:val="009F5C29"/>
    <w:rsid w:val="00A17EF1"/>
    <w:rsid w:val="00A41CBC"/>
    <w:rsid w:val="00A76ECB"/>
    <w:rsid w:val="00AB5B88"/>
    <w:rsid w:val="00AB5F10"/>
    <w:rsid w:val="00B05372"/>
    <w:rsid w:val="00B1065F"/>
    <w:rsid w:val="00C0491C"/>
    <w:rsid w:val="00C57812"/>
    <w:rsid w:val="00C73C21"/>
    <w:rsid w:val="00C810D6"/>
    <w:rsid w:val="00CA7DBD"/>
    <w:rsid w:val="00D238E2"/>
    <w:rsid w:val="00D264D8"/>
    <w:rsid w:val="00D43C7A"/>
    <w:rsid w:val="00D44B31"/>
    <w:rsid w:val="00D56C69"/>
    <w:rsid w:val="00D61C58"/>
    <w:rsid w:val="00D66F73"/>
    <w:rsid w:val="00D7475C"/>
    <w:rsid w:val="00DC171C"/>
    <w:rsid w:val="00E151C0"/>
    <w:rsid w:val="00E34F99"/>
    <w:rsid w:val="00E56103"/>
    <w:rsid w:val="00E95A5F"/>
    <w:rsid w:val="00EA2306"/>
    <w:rsid w:val="00EA69DA"/>
    <w:rsid w:val="00EC104C"/>
    <w:rsid w:val="00ED32A4"/>
    <w:rsid w:val="00EF416A"/>
    <w:rsid w:val="00F70528"/>
    <w:rsid w:val="00FA310D"/>
    <w:rsid w:val="00FB06F3"/>
    <w:rsid w:val="00FC2BFE"/>
    <w:rsid w:val="00FC457E"/>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870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209</Words>
  <Characters>1194</Characters>
  <Application>Microsoft Office Word</Application>
  <DocSecurity>0</DocSecurity>
  <Lines>9</Lines>
  <Paragraphs>2</Paragraphs>
  <ScaleCrop>false</ScaleCrop>
  <Company>微软中国</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50</cp:revision>
  <dcterms:created xsi:type="dcterms:W3CDTF">2016-06-06T03:01:00Z</dcterms:created>
  <dcterms:modified xsi:type="dcterms:W3CDTF">2016-09-09T07:58:00Z</dcterms:modified>
</cp:coreProperties>
</file>