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AD" w:rsidRPr="00D037CB" w:rsidRDefault="004507AD" w:rsidP="004507AD">
      <w:pPr>
        <w:spacing w:line="300" w:lineRule="auto"/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</w:pPr>
      <w:r w:rsidRPr="00D037CB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t>附件</w:t>
      </w:r>
    </w:p>
    <w:p w:rsidR="004507AD" w:rsidRPr="00D037CB" w:rsidRDefault="004507AD" w:rsidP="004507AD">
      <w:pPr>
        <w:spacing w:line="300" w:lineRule="auto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 w:rsidRPr="00D037CB">
        <w:rPr>
          <w:rFonts w:ascii="方正小标宋简体" w:eastAsia="方正小标宋简体" w:cs="仿宋_GB2312" w:hint="eastAsia"/>
          <w:color w:val="000000"/>
          <w:kern w:val="0"/>
          <w:sz w:val="44"/>
          <w:szCs w:val="44"/>
        </w:rPr>
        <w:t>陕西省社区教育实验区评估指标体系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03"/>
        <w:gridCol w:w="1203"/>
        <w:gridCol w:w="9498"/>
        <w:gridCol w:w="719"/>
        <w:gridCol w:w="722"/>
        <w:gridCol w:w="719"/>
        <w:gridCol w:w="722"/>
      </w:tblGrid>
      <w:tr w:rsidR="004507AD" w:rsidRPr="00D037CB" w:rsidTr="00D947CC">
        <w:trPr>
          <w:trHeight w:val="454"/>
          <w:tblHeader/>
        </w:trPr>
        <w:tc>
          <w:tcPr>
            <w:tcW w:w="407" w:type="pct"/>
            <w:vAlign w:val="center"/>
          </w:tcPr>
          <w:p w:rsidR="004507AD" w:rsidRPr="00D037CB" w:rsidRDefault="004507AD" w:rsidP="00D947CC">
            <w:pPr>
              <w:jc w:val="center"/>
              <w:rPr>
                <w:rFonts w:cs="黑体"/>
                <w:b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/>
                <w:bCs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407" w:type="pct"/>
            <w:vAlign w:val="center"/>
          </w:tcPr>
          <w:p w:rsidR="004507AD" w:rsidRPr="00D037CB" w:rsidRDefault="004507AD" w:rsidP="00D947CC">
            <w:pPr>
              <w:jc w:val="center"/>
              <w:rPr>
                <w:rFonts w:cs="黑体"/>
                <w:b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/>
                <w:bCs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 w:hint="eastAsia"/>
                <w:b/>
                <w:color w:val="000000"/>
                <w:kern w:val="0"/>
                <w:szCs w:val="21"/>
              </w:rPr>
              <w:t>三</w:t>
            </w:r>
            <w:r w:rsidRPr="00D037CB">
              <w:rPr>
                <w:rFonts w:cs="黑体"/>
                <w:b/>
                <w:color w:val="000000"/>
                <w:kern w:val="0"/>
                <w:szCs w:val="21"/>
              </w:rPr>
              <w:t xml:space="preserve">  </w:t>
            </w:r>
            <w:r w:rsidRPr="00D037CB">
              <w:rPr>
                <w:rFonts w:cs="黑体" w:hint="eastAsia"/>
                <w:b/>
                <w:color w:val="000000"/>
                <w:kern w:val="0"/>
                <w:szCs w:val="21"/>
              </w:rPr>
              <w:t>级</w:t>
            </w:r>
            <w:r w:rsidRPr="00D037CB">
              <w:rPr>
                <w:rFonts w:cs="黑体"/>
                <w:b/>
                <w:color w:val="000000"/>
                <w:kern w:val="0"/>
                <w:szCs w:val="21"/>
              </w:rPr>
              <w:t xml:space="preserve">  </w:t>
            </w:r>
            <w:r w:rsidRPr="00D037CB">
              <w:rPr>
                <w:rFonts w:cs="黑体" w:hint="eastAsia"/>
                <w:b/>
                <w:color w:val="000000"/>
                <w:kern w:val="0"/>
                <w:szCs w:val="21"/>
              </w:rPr>
              <w:t>指</w:t>
            </w:r>
            <w:r w:rsidRPr="00D037CB">
              <w:rPr>
                <w:rFonts w:cs="黑体"/>
                <w:b/>
                <w:color w:val="000000"/>
                <w:kern w:val="0"/>
                <w:szCs w:val="21"/>
              </w:rPr>
              <w:t xml:space="preserve">  </w:t>
            </w:r>
            <w:r w:rsidRPr="00D037CB">
              <w:rPr>
                <w:rFonts w:cs="黑体" w:hint="eastAsia"/>
                <w:b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 w:hint="eastAsia"/>
                <w:b/>
                <w:color w:val="000000"/>
                <w:szCs w:val="21"/>
              </w:rPr>
              <w:t>分值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 w:hint="eastAsia"/>
                <w:b/>
                <w:color w:val="000000"/>
                <w:szCs w:val="21"/>
              </w:rPr>
              <w:t>自评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 w:hint="eastAsia"/>
                <w:b/>
                <w:color w:val="000000"/>
                <w:szCs w:val="21"/>
              </w:rPr>
              <w:t>初评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 w:hint="eastAsia"/>
                <w:b/>
                <w:color w:val="000000"/>
                <w:szCs w:val="21"/>
              </w:rPr>
              <w:t>复评</w:t>
            </w: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领导与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管理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（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15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组织领导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1.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县（市、区）、街（镇）领导对社区教育内涵，及其开展的指导思想、宗旨、原则有清晰的认识。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2.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县（市、区）、街（镇）均制定社区教育发展规划和实施计划，并列入本地经济和社会发展规划、社区建设规划和教育事业规划之中，并加以认真落实。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color w:val="00000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szCs w:val="21"/>
              </w:rPr>
              <w:t>★</w:t>
            </w:r>
            <w:r w:rsidRPr="00D037CB">
              <w:rPr>
                <w:rFonts w:cs="黑体"/>
                <w:bCs/>
                <w:color w:val="000000"/>
                <w:szCs w:val="21"/>
              </w:rPr>
              <w:t>3.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县（市、区）、街（镇）建立由党政领导牵头的社区教育工作领导小组，其办公室设在教育部门，并有专人负责。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管理与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运行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4.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初步建立了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“党委领导、政府统筹、教育部门主管、有关部门配合、社会积极支持、社区自主活动、市场有效介入、群众广泛参与”的社区教育工作管理体制。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★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5.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县（市、区）党委、政府和相关部门出台相关政策措施和指导意见，并且每年不少于两次研究部署本区域内社区教育工作。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202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Chars="-11" w:left="229" w:hangingChars="120" w:hanging="252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6.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通过多渠道，采取多形式向社区成员宣传社区教育和终身教育思想。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631"/>
        </w:trPr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条件与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保障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（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25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基地建设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★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7.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基本建立县（市、区）、街（镇）、居（村）三级社区教育系统，县（市、区）建立社区学院，大部分街（镇）建立社区学校、市民学校，居（村）建立社区教育学习点。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8.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县（市、区）社区学院场地使用面积不低于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2000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平米，街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(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镇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)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社区学校不低于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300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平米，居（村）学习点不低于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80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平米。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网络建设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bCs/>
                <w:color w:val="000000"/>
                <w:szCs w:val="21"/>
                <w:highlight w:val="yellow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9.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依托教育或其他网站等建设社区教育网站，初步搭建起社区教育网络平台。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资源开发和服务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315" w:hangingChars="150" w:hanging="315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10.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社区内普通中小学、幼儿园、中等职业学校、成人教育培训机构、高等学校等有序向社区开放，为社区教育服务。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11.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社区非教育机构教育资源得到较好地开发，为社区教育服务。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430" w:hangingChars="205" w:hanging="430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12.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社区重视无形教育资源的总结，提炼，作为社区教育宝贵资源。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rPr>
                <w:rFonts w:cs="黑体" w:hint="eastAsia"/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13.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社区积极创造条件，建设学习资源服务圈。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lastRenderedPageBreak/>
              <w:t>条件与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保障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（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25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经费保障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color w:val="00000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szCs w:val="21"/>
              </w:rPr>
              <w:t>★</w:t>
            </w:r>
            <w:r w:rsidRPr="00D037CB">
              <w:rPr>
                <w:rFonts w:cs="黑体"/>
                <w:bCs/>
                <w:color w:val="000000"/>
                <w:szCs w:val="21"/>
              </w:rPr>
              <w:t>14.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县（市、区）财政一般按常住人口每年人均不低于</w:t>
            </w:r>
            <w:r w:rsidRPr="00D037CB">
              <w:rPr>
                <w:rFonts w:cs="黑体"/>
                <w:bCs/>
                <w:color w:val="000000"/>
                <w:szCs w:val="21"/>
              </w:rPr>
              <w:t>1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元的标准设立社区教育专项培训经费，并逐年有所提高。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15.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建立多渠道筹措社区教育经费的保障机制。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rFonts w:cs="黑体"/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队伍建设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16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．基本形成一支素质较高、熟悉社区教育、专兼职结合的社区教育管理队伍，街（镇）至少配备</w:t>
            </w:r>
            <w:r w:rsidRPr="00D037CB">
              <w:rPr>
                <w:rFonts w:cs="黑体"/>
                <w:color w:val="000000"/>
                <w:szCs w:val="21"/>
              </w:rPr>
              <w:t>1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名专职管理人员。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rFonts w:cs="黑体"/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color w:val="00000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szCs w:val="21"/>
              </w:rPr>
              <w:t>★</w:t>
            </w:r>
            <w:r w:rsidRPr="00D037CB">
              <w:rPr>
                <w:rFonts w:cs="黑体"/>
                <w:bCs/>
                <w:color w:val="000000"/>
                <w:szCs w:val="21"/>
              </w:rPr>
              <w:t>17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．有一支相对稳定，适应社区教育需要的，专职、兼职和志愿者相结合的社区教育师资队伍，专职教师按常住人口的万分之一比例配备，志愿者人数占辖区常住人口百分之五以上。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18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．制定社区教育工作者队伍建设规划，定期开展社区教育专职人员岗前培训和在岗提高性培训，年培训率达</w:t>
            </w:r>
            <w:r w:rsidRPr="00D037CB">
              <w:rPr>
                <w:rFonts w:cs="黑体"/>
                <w:bCs/>
                <w:color w:val="000000"/>
                <w:szCs w:val="21"/>
              </w:rPr>
              <w:t>50%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以上。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制度保障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19.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社区教育各项规章制度基本健全，包括联席会议制度、目标责任制度、管理制度、居民终身学习制度、评估检查和专项督导制度、奖励保障制度等。并纳入政府教育督导评估范围。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rFonts w:cs="黑体"/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rPr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20.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注重档案建设，档案资料基本规范齐全。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教育培训与学习活动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（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25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教育培训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活动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rPr>
                <w:color w:val="00000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szCs w:val="21"/>
              </w:rPr>
              <w:t>★</w:t>
            </w:r>
            <w:r w:rsidRPr="00D037CB">
              <w:rPr>
                <w:rFonts w:cs="黑体"/>
                <w:bCs/>
                <w:color w:val="000000"/>
                <w:szCs w:val="21"/>
              </w:rPr>
              <w:t>21.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全年接受社区教育服务的社区居民占全体成员的比例达</w:t>
            </w:r>
            <w:r w:rsidRPr="00D037CB">
              <w:rPr>
                <w:rFonts w:cs="黑体"/>
                <w:bCs/>
                <w:color w:val="000000"/>
                <w:szCs w:val="21"/>
              </w:rPr>
              <w:t>20%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以上。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22.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城市社区，登记在册的下岗待业人员和外来务工人员的培训率分别达到</w:t>
            </w:r>
            <w:r w:rsidRPr="00D037CB">
              <w:rPr>
                <w:rFonts w:cs="黑体"/>
                <w:bCs/>
                <w:color w:val="000000"/>
                <w:szCs w:val="21"/>
              </w:rPr>
              <w:t>50%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和</w:t>
            </w:r>
            <w:r w:rsidRPr="00D037CB">
              <w:rPr>
                <w:rFonts w:cs="黑体"/>
                <w:bCs/>
                <w:color w:val="000000"/>
                <w:szCs w:val="21"/>
              </w:rPr>
              <w:t>40%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以上。农村社区，农民实用技术培训率达</w:t>
            </w:r>
            <w:r w:rsidRPr="00D037CB">
              <w:rPr>
                <w:rFonts w:cs="黑体"/>
                <w:bCs/>
                <w:color w:val="000000"/>
                <w:szCs w:val="21"/>
              </w:rPr>
              <w:t>25%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以上，农村劳动力转移培训率达到</w:t>
            </w:r>
            <w:r w:rsidRPr="00D037CB">
              <w:rPr>
                <w:rFonts w:cs="黑体"/>
                <w:bCs/>
                <w:color w:val="000000"/>
                <w:szCs w:val="21"/>
              </w:rPr>
              <w:t>40%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以上。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23.</w:t>
            </w:r>
            <w:r w:rsidRPr="00D037CB">
              <w:rPr>
                <w:rFonts w:cs="黑体" w:hint="eastAsia"/>
                <w:bCs/>
                <w:color w:val="000000"/>
                <w:spacing w:val="-4"/>
                <w:szCs w:val="21"/>
              </w:rPr>
              <w:t>注重向社区家长进行科学育儿和家庭教育的培训辅导。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注重未成年人的主题教育活动，未成年人参与社区教育活动的比例不低于</w:t>
            </w:r>
            <w:r w:rsidRPr="00D037CB">
              <w:rPr>
                <w:rFonts w:cs="黑体"/>
                <w:bCs/>
                <w:color w:val="000000"/>
                <w:szCs w:val="21"/>
              </w:rPr>
              <w:t>40%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rPr>
                <w:rFonts w:cs="黑体"/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24.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老年人参与社区教育学习活动的比例达</w:t>
            </w:r>
            <w:r w:rsidRPr="00D037CB">
              <w:rPr>
                <w:rFonts w:cs="黑体"/>
                <w:bCs/>
                <w:color w:val="000000"/>
                <w:szCs w:val="21"/>
              </w:rPr>
              <w:t>20%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以上。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rFonts w:cs="黑体"/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25.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定期开展全民终身学习活动周，全民读书月等群众性宣传教育活动，有教育主题，有活动方案，有实际成效。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414" w:hangingChars="205" w:hanging="414"/>
              <w:textAlignment w:val="baseline"/>
              <w:rPr>
                <w:bCs/>
                <w:color w:val="000000"/>
                <w:spacing w:val="-4"/>
                <w:szCs w:val="21"/>
              </w:rPr>
            </w:pPr>
            <w:r w:rsidRPr="00D037CB">
              <w:rPr>
                <w:rFonts w:cs="黑体"/>
                <w:bCs/>
                <w:color w:val="000000"/>
                <w:spacing w:val="-4"/>
                <w:szCs w:val="21"/>
              </w:rPr>
              <w:t>26.</w:t>
            </w:r>
            <w:r w:rsidRPr="00D037CB">
              <w:rPr>
                <w:rFonts w:cs="黑体" w:hint="eastAsia"/>
                <w:bCs/>
                <w:color w:val="000000"/>
                <w:spacing w:val="-4"/>
                <w:szCs w:val="21"/>
              </w:rPr>
              <w:t>注重对社区各类人员心理疏导和调适的教育培训。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学习型组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织创建</w:t>
            </w:r>
          </w:p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ind w:left="210" w:hangingChars="100" w:hanging="210"/>
              <w:rPr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27.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县（市、区）党委、政府重视学习型组织建设，有中长期创建规划和年度推进计划。各类学习型组织的创建力度大、进展快。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rPr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28.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学习型党政机关创建率达</w:t>
            </w:r>
            <w:r w:rsidRPr="00D037CB">
              <w:rPr>
                <w:rFonts w:cs="黑体"/>
                <w:bCs/>
                <w:color w:val="000000"/>
                <w:szCs w:val="21"/>
              </w:rPr>
              <w:t>60%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左右。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454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6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60" w:lineRule="exact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29.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学习型社区居（村）创建率达</w:t>
            </w:r>
            <w:r w:rsidRPr="00D037CB">
              <w:rPr>
                <w:rFonts w:cs="黑体"/>
                <w:bCs/>
                <w:color w:val="000000"/>
                <w:szCs w:val="21"/>
              </w:rPr>
              <w:t>40%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以上。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3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 w:hint="eastAsia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lastRenderedPageBreak/>
              <w:t>社区教育成效</w:t>
            </w:r>
          </w:p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（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25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ind w:leftChars="-30" w:left="-63" w:rightChars="-30" w:right="-63"/>
              <w:jc w:val="center"/>
              <w:rPr>
                <w:rFonts w:cs="黑体" w:hint="eastAsia"/>
                <w:bCs/>
                <w:color w:val="000000"/>
                <w:spacing w:val="-6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spacing w:val="-6"/>
                <w:kern w:val="0"/>
                <w:szCs w:val="21"/>
              </w:rPr>
              <w:t>社区成员的认知和评价</w:t>
            </w:r>
          </w:p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rPr>
                <w:bCs/>
                <w:color w:val="00000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szCs w:val="21"/>
              </w:rPr>
              <w:t>★</w:t>
            </w:r>
            <w:r w:rsidRPr="00D037CB">
              <w:rPr>
                <w:rFonts w:cs="黑体"/>
                <w:bCs/>
                <w:color w:val="000000"/>
                <w:szCs w:val="21"/>
              </w:rPr>
              <w:t>30.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社区成员对社区教育的知晓率、认同率达</w:t>
            </w:r>
            <w:r w:rsidRPr="00D037CB">
              <w:rPr>
                <w:rFonts w:cs="黑体"/>
                <w:bCs/>
                <w:color w:val="000000"/>
                <w:szCs w:val="21"/>
              </w:rPr>
              <w:t>60%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以上。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rPr>
                <w:bCs/>
                <w:color w:val="00000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szCs w:val="21"/>
              </w:rPr>
              <w:t>★</w:t>
            </w:r>
            <w:r w:rsidRPr="00D037CB">
              <w:rPr>
                <w:rFonts w:cs="黑体"/>
                <w:bCs/>
                <w:color w:val="000000"/>
                <w:szCs w:val="21"/>
              </w:rPr>
              <w:t>31.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社区成员对接受社区教育服务的满意率达</w:t>
            </w:r>
            <w:r w:rsidRPr="00D037CB">
              <w:rPr>
                <w:rFonts w:cs="黑体"/>
                <w:bCs/>
                <w:color w:val="000000"/>
                <w:szCs w:val="21"/>
              </w:rPr>
              <w:t>60%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以上。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4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社区成员综合素质的提高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 xml:space="preserve">  6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ind w:left="210" w:hangingChars="100" w:hanging="210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32.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社区成员的社区归属感、遵守社会公德自觉性、扶贫帮困、参加公益活动等公民素质有较大的提高。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33.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社区成员参与终身学习的积极性明显提高，精神生活质量有较大改善。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34.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社区成员终身学习观念有明显增强，求知欲有明显提升，知识和技能含量明显提高。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 w:hint="eastAsia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社区发展和成员生活质量的提升</w:t>
            </w:r>
          </w:p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ind w:left="210" w:hangingChars="100" w:hanging="210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35.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推进了“文明社区”、“安全社区”、“和谐社区”、“数字社区”、“健康社区”等各类创建工作，成效显著。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36.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社区和谐稳定，各类案件发生率下降。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37.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社区成员的精神生活质量和环境生活质量有了改善。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内涵建设的加强</w:t>
            </w:r>
          </w:p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38.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重视社区教育课程和教材建设，已形成具有教材性质的读本。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39.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开展社区教育实验项目工作取得一定成效。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2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rPr>
                <w:bCs/>
                <w:color w:val="000000"/>
                <w:szCs w:val="21"/>
              </w:rPr>
            </w:pPr>
            <w:r w:rsidRPr="00D037CB">
              <w:rPr>
                <w:rFonts w:cs="黑体"/>
                <w:bCs/>
                <w:color w:val="000000"/>
                <w:szCs w:val="21"/>
              </w:rPr>
              <w:t>40</w:t>
            </w:r>
            <w:r w:rsidRPr="00D037CB">
              <w:rPr>
                <w:rFonts w:cs="黑体" w:hint="eastAsia"/>
                <w:bCs/>
                <w:color w:val="000000"/>
                <w:szCs w:val="21"/>
              </w:rPr>
              <w:t>注重社区教育课题研究，并取得初步成效。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1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507"/>
        </w:trPr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特色与</w:t>
            </w:r>
          </w:p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创新</w:t>
            </w:r>
          </w:p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（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10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spacing w:val="-6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spacing w:val="-6"/>
                <w:kern w:val="0"/>
                <w:szCs w:val="21"/>
              </w:rPr>
              <w:t>特色（做到其中一项可获满分）</w:t>
            </w:r>
          </w:p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spacing w:val="-6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spacing w:val="-6"/>
                <w:kern w:val="0"/>
                <w:szCs w:val="21"/>
              </w:rPr>
              <w:t>5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ind w:left="210" w:hangingChars="100" w:hanging="210"/>
              <w:rPr>
                <w:bCs/>
                <w:color w:val="00000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szCs w:val="21"/>
              </w:rPr>
              <w:t>★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41.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注重社区教育课程和活动的研发，已形成具有社区特色的课程及活动资源。</w:t>
            </w:r>
          </w:p>
        </w:tc>
        <w:tc>
          <w:tcPr>
            <w:tcW w:w="243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5</w:t>
            </w:r>
          </w:p>
        </w:tc>
        <w:tc>
          <w:tcPr>
            <w:tcW w:w="244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rPr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42.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注重社区教育特色建设，已打造出有关项目、载体、平台等方面特色品牌。</w:t>
            </w:r>
          </w:p>
        </w:tc>
        <w:tc>
          <w:tcPr>
            <w:tcW w:w="243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44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spacing w:val="-6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spacing w:val="-6"/>
                <w:kern w:val="0"/>
                <w:szCs w:val="21"/>
              </w:rPr>
              <w:t>创新（做到其中一项可获满分）</w:t>
            </w:r>
          </w:p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spacing w:val="-6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spacing w:val="-6"/>
                <w:kern w:val="0"/>
                <w:szCs w:val="21"/>
              </w:rPr>
              <w:t>5</w:t>
            </w: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rPr>
                <w:bCs/>
                <w:color w:val="000000"/>
                <w:spacing w:val="-6"/>
                <w:kern w:val="0"/>
                <w:szCs w:val="21"/>
              </w:rPr>
            </w:pPr>
            <w:r w:rsidRPr="00D037CB">
              <w:rPr>
                <w:rFonts w:cs="黑体"/>
                <w:bCs/>
                <w:color w:val="000000"/>
                <w:spacing w:val="-6"/>
                <w:kern w:val="0"/>
                <w:szCs w:val="21"/>
              </w:rPr>
              <w:t>43.</w:t>
            </w:r>
            <w:r w:rsidRPr="00D037CB">
              <w:rPr>
                <w:rFonts w:cs="黑体" w:hint="eastAsia"/>
                <w:bCs/>
                <w:color w:val="000000"/>
                <w:spacing w:val="-6"/>
                <w:kern w:val="0"/>
                <w:szCs w:val="21"/>
              </w:rPr>
              <w:t>注重社区教育问题研究和实验探索，已取得具有创新价值的实验研究成果，指导社区教育新发展。</w:t>
            </w:r>
          </w:p>
        </w:tc>
        <w:tc>
          <w:tcPr>
            <w:tcW w:w="243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5</w:t>
            </w:r>
          </w:p>
        </w:tc>
        <w:tc>
          <w:tcPr>
            <w:tcW w:w="244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Merge w:val="restar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7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12" w:type="pct"/>
            <w:vAlign w:val="center"/>
          </w:tcPr>
          <w:p w:rsidR="004507AD" w:rsidRPr="00D037CB" w:rsidRDefault="004507AD" w:rsidP="00D947CC">
            <w:pPr>
              <w:spacing w:line="280" w:lineRule="exact"/>
              <w:ind w:left="210" w:hangingChars="100" w:hanging="210"/>
              <w:rPr>
                <w:color w:val="00000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szCs w:val="21"/>
              </w:rPr>
              <w:t>★</w:t>
            </w:r>
            <w:r w:rsidRPr="00D037CB">
              <w:rPr>
                <w:rFonts w:cs="黑体"/>
                <w:bCs/>
                <w:color w:val="000000"/>
                <w:kern w:val="0"/>
                <w:szCs w:val="21"/>
              </w:rPr>
              <w:t>44.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注重社区教育的管理体制、运行机制、体系构建、资源共享、投入机制、队伍建设、市民学分银行建设、督导评估等方面改革创新，成效较为显著。</w:t>
            </w:r>
          </w:p>
        </w:tc>
        <w:tc>
          <w:tcPr>
            <w:tcW w:w="243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244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Merge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  <w:tr w:rsidR="004507AD" w:rsidRPr="00D037CB" w:rsidTr="00D947CC">
        <w:trPr>
          <w:trHeight w:val="340"/>
        </w:trPr>
        <w:tc>
          <w:tcPr>
            <w:tcW w:w="4026" w:type="pct"/>
            <w:gridSpan w:val="3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rFonts w:cs="黑体"/>
                <w:bCs/>
                <w:color w:val="000000"/>
                <w:kern w:val="0"/>
                <w:szCs w:val="21"/>
              </w:rPr>
            </w:pP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总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 xml:space="preserve">   </w:t>
            </w:r>
            <w:r w:rsidRPr="00D037CB">
              <w:rPr>
                <w:rFonts w:cs="黑体" w:hint="eastAsia"/>
                <w:bCs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b/>
                <w:color w:val="000000"/>
                <w:szCs w:val="21"/>
              </w:rPr>
            </w:pPr>
            <w:r w:rsidRPr="00D037CB">
              <w:rPr>
                <w:rFonts w:cs="黑体"/>
                <w:b/>
                <w:color w:val="000000"/>
                <w:szCs w:val="21"/>
              </w:rPr>
              <w:t>100</w:t>
            </w: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3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44" w:type="pct"/>
            <w:vAlign w:val="center"/>
          </w:tcPr>
          <w:p w:rsidR="004507AD" w:rsidRPr="00D037CB" w:rsidRDefault="004507AD" w:rsidP="00D947CC">
            <w:pPr>
              <w:spacing w:line="28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4507AD" w:rsidRPr="00D037CB" w:rsidRDefault="004507AD" w:rsidP="004507AD">
      <w:pPr>
        <w:spacing w:line="260" w:lineRule="exact"/>
        <w:rPr>
          <w:bCs/>
          <w:color w:val="000000"/>
          <w:kern w:val="0"/>
          <w:szCs w:val="21"/>
        </w:rPr>
      </w:pPr>
      <w:r w:rsidRPr="00D037CB">
        <w:rPr>
          <w:rFonts w:ascii="黑体" w:eastAsia="黑体" w:hAnsi="宋体" w:cs="黑体" w:hint="eastAsia"/>
          <w:bCs/>
          <w:color w:val="000000"/>
          <w:kern w:val="0"/>
          <w:szCs w:val="21"/>
        </w:rPr>
        <w:t>说明：</w:t>
      </w:r>
      <w:r w:rsidRPr="00D037CB">
        <w:rPr>
          <w:rFonts w:cs="黑体"/>
          <w:bCs/>
          <w:color w:val="000000"/>
          <w:kern w:val="0"/>
          <w:szCs w:val="21"/>
        </w:rPr>
        <w:t>1.</w:t>
      </w:r>
      <w:r w:rsidRPr="00D037CB">
        <w:rPr>
          <w:rFonts w:cs="黑体" w:hint="eastAsia"/>
          <w:bCs/>
          <w:color w:val="000000"/>
          <w:kern w:val="0"/>
          <w:szCs w:val="21"/>
        </w:rPr>
        <w:t>本指标体系由</w:t>
      </w:r>
      <w:r w:rsidRPr="00D037CB">
        <w:rPr>
          <w:rFonts w:cs="黑体"/>
          <w:bCs/>
          <w:color w:val="000000"/>
          <w:kern w:val="0"/>
          <w:szCs w:val="21"/>
        </w:rPr>
        <w:t>5</w:t>
      </w:r>
      <w:r w:rsidRPr="00D037CB">
        <w:rPr>
          <w:rFonts w:cs="黑体" w:hint="eastAsia"/>
          <w:bCs/>
          <w:color w:val="000000"/>
          <w:kern w:val="0"/>
          <w:szCs w:val="21"/>
        </w:rPr>
        <w:t>个一级指标、</w:t>
      </w:r>
      <w:r w:rsidRPr="00D037CB">
        <w:rPr>
          <w:rFonts w:cs="黑体"/>
          <w:bCs/>
          <w:color w:val="000000"/>
          <w:kern w:val="0"/>
          <w:szCs w:val="21"/>
        </w:rPr>
        <w:t>16</w:t>
      </w:r>
      <w:r w:rsidRPr="00D037CB">
        <w:rPr>
          <w:rFonts w:cs="黑体" w:hint="eastAsia"/>
          <w:bCs/>
          <w:color w:val="000000"/>
          <w:kern w:val="0"/>
          <w:szCs w:val="21"/>
        </w:rPr>
        <w:t>个二级指标、</w:t>
      </w:r>
      <w:r w:rsidRPr="00D037CB">
        <w:rPr>
          <w:rFonts w:cs="黑体"/>
          <w:bCs/>
          <w:color w:val="000000"/>
          <w:kern w:val="0"/>
          <w:szCs w:val="21"/>
        </w:rPr>
        <w:t>44</w:t>
      </w:r>
      <w:r w:rsidRPr="00D037CB">
        <w:rPr>
          <w:rFonts w:cs="黑体" w:hint="eastAsia"/>
          <w:bCs/>
          <w:color w:val="000000"/>
          <w:kern w:val="0"/>
          <w:szCs w:val="21"/>
        </w:rPr>
        <w:t>个三级指标组成，其中有★号的</w:t>
      </w:r>
      <w:r w:rsidRPr="00D037CB">
        <w:rPr>
          <w:rFonts w:cs="黑体"/>
          <w:bCs/>
          <w:color w:val="000000"/>
          <w:kern w:val="0"/>
          <w:szCs w:val="21"/>
        </w:rPr>
        <w:t>10</w:t>
      </w:r>
      <w:r w:rsidRPr="00D037CB">
        <w:rPr>
          <w:rFonts w:cs="黑体" w:hint="eastAsia"/>
          <w:bCs/>
          <w:color w:val="000000"/>
          <w:kern w:val="0"/>
          <w:szCs w:val="21"/>
        </w:rPr>
        <w:t>个三级指标为核心指标。</w:t>
      </w:r>
    </w:p>
    <w:p w:rsidR="004507AD" w:rsidRPr="00D037CB" w:rsidRDefault="004507AD" w:rsidP="004507AD">
      <w:pPr>
        <w:spacing w:line="260" w:lineRule="exact"/>
        <w:rPr>
          <w:bCs/>
          <w:color w:val="000000"/>
          <w:kern w:val="0"/>
          <w:szCs w:val="21"/>
        </w:rPr>
      </w:pPr>
      <w:r w:rsidRPr="00D037CB">
        <w:rPr>
          <w:rFonts w:cs="黑体" w:hint="eastAsia"/>
          <w:bCs/>
          <w:color w:val="000000"/>
          <w:kern w:val="0"/>
          <w:szCs w:val="21"/>
        </w:rPr>
        <w:t xml:space="preserve">　　</w:t>
      </w:r>
      <w:r w:rsidRPr="00D037CB">
        <w:rPr>
          <w:rFonts w:cs="黑体" w:hint="eastAsia"/>
          <w:bCs/>
          <w:color w:val="000000"/>
          <w:kern w:val="0"/>
          <w:szCs w:val="21"/>
        </w:rPr>
        <w:t xml:space="preserve">  </w:t>
      </w:r>
      <w:r w:rsidRPr="00D037CB">
        <w:rPr>
          <w:rFonts w:cs="黑体"/>
          <w:bCs/>
          <w:color w:val="000000"/>
          <w:kern w:val="0"/>
          <w:szCs w:val="21"/>
        </w:rPr>
        <w:t xml:space="preserve">2 </w:t>
      </w:r>
      <w:r w:rsidRPr="00D037CB">
        <w:rPr>
          <w:rFonts w:cs="黑体" w:hint="eastAsia"/>
          <w:bCs/>
          <w:color w:val="000000"/>
          <w:kern w:val="0"/>
          <w:szCs w:val="21"/>
        </w:rPr>
        <w:t>本指标体系总分为</w:t>
      </w:r>
      <w:r w:rsidRPr="00D037CB">
        <w:rPr>
          <w:rFonts w:cs="黑体"/>
          <w:bCs/>
          <w:color w:val="000000"/>
          <w:kern w:val="0"/>
          <w:szCs w:val="21"/>
        </w:rPr>
        <w:t>100</w:t>
      </w:r>
      <w:r w:rsidRPr="00D037CB">
        <w:rPr>
          <w:rFonts w:cs="黑体" w:hint="eastAsia"/>
          <w:bCs/>
          <w:color w:val="000000"/>
          <w:kern w:val="0"/>
          <w:szCs w:val="21"/>
        </w:rPr>
        <w:t>分。若评估分值满</w:t>
      </w:r>
      <w:r w:rsidRPr="00D037CB">
        <w:rPr>
          <w:rFonts w:cs="黑体"/>
          <w:bCs/>
          <w:color w:val="000000"/>
          <w:kern w:val="0"/>
          <w:szCs w:val="21"/>
        </w:rPr>
        <w:t>80</w:t>
      </w:r>
      <w:r w:rsidRPr="00D037CB">
        <w:rPr>
          <w:rFonts w:cs="黑体" w:hint="eastAsia"/>
          <w:bCs/>
          <w:color w:val="000000"/>
          <w:kern w:val="0"/>
          <w:szCs w:val="21"/>
        </w:rPr>
        <w:t>分，且核心指标有</w:t>
      </w:r>
      <w:r w:rsidRPr="00D037CB">
        <w:rPr>
          <w:rFonts w:cs="黑体"/>
          <w:bCs/>
          <w:color w:val="000000"/>
          <w:kern w:val="0"/>
          <w:szCs w:val="21"/>
        </w:rPr>
        <w:t>6</w:t>
      </w:r>
      <w:r w:rsidRPr="00D037CB">
        <w:rPr>
          <w:rFonts w:cs="黑体" w:hint="eastAsia"/>
          <w:bCs/>
          <w:color w:val="000000"/>
          <w:kern w:val="0"/>
          <w:szCs w:val="21"/>
        </w:rPr>
        <w:t>项通过，则获得省级实验区的备选资格。</w:t>
      </w:r>
    </w:p>
    <w:p w:rsidR="004507AD" w:rsidRDefault="004507AD" w:rsidP="004507AD">
      <w:pPr>
        <w:spacing w:line="260" w:lineRule="exact"/>
        <w:ind w:firstLineChars="300" w:firstLine="630"/>
        <w:rPr>
          <w:rFonts w:cs="黑体"/>
          <w:bCs/>
          <w:color w:val="000000"/>
          <w:spacing w:val="-4"/>
          <w:kern w:val="0"/>
          <w:szCs w:val="21"/>
        </w:rPr>
        <w:sectPr w:rsidR="004507AD" w:rsidSect="00277004">
          <w:footerReference w:type="even" r:id="rId7"/>
          <w:footerReference w:type="default" r:id="rId8"/>
          <w:pgSz w:w="16838" w:h="11906" w:orient="landscape"/>
          <w:pgMar w:top="1701" w:right="1134" w:bottom="1134" w:left="1134" w:header="851" w:footer="1134" w:gutter="0"/>
          <w:pgNumType w:fmt="numberInDash"/>
          <w:cols w:space="425"/>
          <w:docGrid w:type="linesAndChars" w:linePitch="312"/>
        </w:sectPr>
      </w:pPr>
      <w:r w:rsidRPr="00D037CB">
        <w:rPr>
          <w:rFonts w:cs="黑体" w:hint="eastAsia"/>
          <w:bCs/>
          <w:color w:val="000000"/>
          <w:kern w:val="0"/>
          <w:szCs w:val="21"/>
        </w:rPr>
        <w:t xml:space="preserve">　　</w:t>
      </w:r>
      <w:r w:rsidRPr="00D037CB">
        <w:rPr>
          <w:rFonts w:cs="黑体" w:hint="eastAsia"/>
          <w:bCs/>
          <w:color w:val="000000"/>
          <w:kern w:val="0"/>
          <w:szCs w:val="21"/>
        </w:rPr>
        <w:t xml:space="preserve">  </w:t>
      </w:r>
      <w:r w:rsidRPr="00D037CB">
        <w:rPr>
          <w:rFonts w:cs="黑体"/>
          <w:bCs/>
          <w:color w:val="000000"/>
          <w:kern w:val="0"/>
          <w:szCs w:val="21"/>
        </w:rPr>
        <w:t>3.</w:t>
      </w:r>
      <w:r w:rsidRPr="00D037CB">
        <w:rPr>
          <w:rFonts w:cs="黑体" w:hint="eastAsia"/>
          <w:bCs/>
          <w:color w:val="000000"/>
          <w:kern w:val="0"/>
          <w:szCs w:val="21"/>
        </w:rPr>
        <w:t>“全年接受服务的社区成员达全体成员的</w:t>
      </w:r>
      <w:r w:rsidRPr="00D037CB">
        <w:rPr>
          <w:rFonts w:cs="黑体" w:hint="eastAsia"/>
          <w:bCs/>
          <w:color w:val="000000"/>
          <w:kern w:val="0"/>
          <w:szCs w:val="21"/>
        </w:rPr>
        <w:t>2</w:t>
      </w:r>
      <w:r w:rsidRPr="00D037CB">
        <w:rPr>
          <w:rFonts w:cs="黑体"/>
          <w:bCs/>
          <w:color w:val="000000"/>
          <w:kern w:val="0"/>
          <w:szCs w:val="21"/>
        </w:rPr>
        <w:t>0%</w:t>
      </w:r>
      <w:r w:rsidRPr="00D037CB">
        <w:rPr>
          <w:rFonts w:cs="黑体" w:hint="eastAsia"/>
          <w:bCs/>
          <w:color w:val="000000"/>
          <w:kern w:val="0"/>
          <w:szCs w:val="21"/>
        </w:rPr>
        <w:t>以上”是指本社区所提供的社区教育服务，不包括社区成员未利用社区上述服务，而进行的自我活动和自主学习。</w:t>
      </w:r>
      <w:r w:rsidRPr="00D037CB">
        <w:rPr>
          <w:rFonts w:cs="黑体"/>
          <w:bCs/>
          <w:color w:val="000000"/>
          <w:kern w:val="0"/>
          <w:szCs w:val="21"/>
        </w:rPr>
        <w:t>4.</w:t>
      </w:r>
      <w:r w:rsidRPr="00D037CB">
        <w:rPr>
          <w:rFonts w:cs="黑体" w:hint="eastAsia"/>
          <w:bCs/>
          <w:color w:val="000000"/>
          <w:kern w:val="0"/>
          <w:szCs w:val="21"/>
        </w:rPr>
        <w:t>“</w:t>
      </w:r>
      <w:r w:rsidRPr="00D037CB">
        <w:rPr>
          <w:rFonts w:cs="黑体" w:hint="eastAsia"/>
          <w:bCs/>
          <w:color w:val="000000"/>
          <w:spacing w:val="-4"/>
          <w:kern w:val="0"/>
          <w:szCs w:val="21"/>
        </w:rPr>
        <w:t>社区成员接受服务的满意率达到</w:t>
      </w:r>
      <w:r w:rsidRPr="00D037CB">
        <w:rPr>
          <w:rFonts w:cs="黑体" w:hint="eastAsia"/>
          <w:bCs/>
          <w:color w:val="000000"/>
          <w:spacing w:val="-4"/>
          <w:kern w:val="0"/>
          <w:szCs w:val="21"/>
        </w:rPr>
        <w:t>6</w:t>
      </w:r>
      <w:r w:rsidRPr="00D037CB">
        <w:rPr>
          <w:rFonts w:cs="黑体"/>
          <w:bCs/>
          <w:color w:val="000000"/>
          <w:spacing w:val="-4"/>
          <w:kern w:val="0"/>
          <w:szCs w:val="21"/>
        </w:rPr>
        <w:t>0%</w:t>
      </w:r>
      <w:r w:rsidRPr="00D037CB">
        <w:rPr>
          <w:rFonts w:cs="黑体" w:hint="eastAsia"/>
          <w:bCs/>
          <w:color w:val="000000"/>
          <w:spacing w:val="-4"/>
          <w:kern w:val="0"/>
          <w:szCs w:val="21"/>
        </w:rPr>
        <w:t>以上”是指“接受服务”的社区成员的百分比。</w:t>
      </w:r>
    </w:p>
    <w:p w:rsidR="00B5111E" w:rsidRPr="004507AD" w:rsidRDefault="00B5111E" w:rsidP="004507AD"/>
    <w:sectPr w:rsidR="00B5111E" w:rsidRPr="004507AD" w:rsidSect="00976F8B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E73" w:rsidRDefault="00063E73" w:rsidP="00973222">
      <w:r>
        <w:separator/>
      </w:r>
    </w:p>
  </w:endnote>
  <w:endnote w:type="continuationSeparator" w:id="1">
    <w:p w:rsidR="00063E73" w:rsidRDefault="00063E73" w:rsidP="00973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7AD" w:rsidRPr="00277004" w:rsidRDefault="004507AD" w:rsidP="00277004">
    <w:pPr>
      <w:pStyle w:val="a4"/>
      <w:ind w:right="280"/>
      <w:jc w:val="center"/>
      <w:rPr>
        <w:rFonts w:ascii="宋体" w:hAnsi="宋体"/>
        <w:sz w:val="28"/>
        <w:szCs w:val="28"/>
      </w:rPr>
    </w:pPr>
    <w:r w:rsidRPr="00277004">
      <w:rPr>
        <w:rFonts w:ascii="宋体" w:hAnsi="宋体"/>
        <w:sz w:val="28"/>
        <w:szCs w:val="28"/>
      </w:rPr>
      <w:fldChar w:fldCharType="begin"/>
    </w:r>
    <w:r w:rsidRPr="00277004">
      <w:rPr>
        <w:rFonts w:ascii="宋体" w:hAnsi="宋体"/>
        <w:sz w:val="28"/>
        <w:szCs w:val="28"/>
      </w:rPr>
      <w:instrText xml:space="preserve"> PAGE   \* MERGEFORMAT </w:instrText>
    </w:r>
    <w:r w:rsidRPr="00277004">
      <w:rPr>
        <w:rFonts w:ascii="宋体" w:hAnsi="宋体"/>
        <w:sz w:val="28"/>
        <w:szCs w:val="28"/>
      </w:rPr>
      <w:fldChar w:fldCharType="separate"/>
    </w:r>
    <w:r w:rsidRPr="00A200CA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277004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7AD" w:rsidRPr="00277004" w:rsidRDefault="004507AD" w:rsidP="008C2B15">
    <w:pPr>
      <w:pStyle w:val="a4"/>
      <w:ind w:right="280"/>
      <w:jc w:val="center"/>
      <w:rPr>
        <w:rFonts w:ascii="宋体" w:hAnsi="宋体"/>
        <w:sz w:val="28"/>
        <w:szCs w:val="28"/>
      </w:rPr>
    </w:pPr>
    <w:r w:rsidRPr="00277004">
      <w:rPr>
        <w:rFonts w:ascii="宋体" w:hAnsi="宋体"/>
        <w:sz w:val="28"/>
        <w:szCs w:val="28"/>
      </w:rPr>
      <w:fldChar w:fldCharType="begin"/>
    </w:r>
    <w:r w:rsidRPr="00277004">
      <w:rPr>
        <w:rFonts w:ascii="宋体" w:hAnsi="宋体"/>
        <w:sz w:val="28"/>
        <w:szCs w:val="28"/>
      </w:rPr>
      <w:instrText xml:space="preserve"> PAGE   \* MERGEFORMAT </w:instrText>
    </w:r>
    <w:r w:rsidRPr="00277004">
      <w:rPr>
        <w:rFonts w:ascii="宋体" w:hAnsi="宋体"/>
        <w:sz w:val="28"/>
        <w:szCs w:val="28"/>
      </w:rPr>
      <w:fldChar w:fldCharType="separate"/>
    </w:r>
    <w:r w:rsidRPr="004507A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277004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AB" w:rsidRPr="00A436F5" w:rsidRDefault="004B07AB" w:rsidP="00B82119">
    <w:pPr>
      <w:pStyle w:val="a4"/>
      <w:ind w:right="840" w:firstLineChars="100" w:firstLine="280"/>
      <w:jc w:val="center"/>
      <w:rPr>
        <w:rFonts w:ascii="宋体" w:hAnsi="宋体"/>
        <w:sz w:val="28"/>
        <w:szCs w:val="28"/>
      </w:rPr>
    </w:pPr>
    <w:r w:rsidRPr="00A436F5">
      <w:rPr>
        <w:rFonts w:ascii="宋体" w:hAnsi="宋体" w:hint="eastAsia"/>
        <w:sz w:val="28"/>
        <w:szCs w:val="28"/>
      </w:rPr>
      <w:t>—</w:t>
    </w:r>
    <w:r w:rsidR="001B6495" w:rsidRPr="00A436F5">
      <w:rPr>
        <w:rFonts w:ascii="宋体" w:hAnsi="宋体"/>
        <w:sz w:val="28"/>
        <w:szCs w:val="28"/>
      </w:rPr>
      <w:fldChar w:fldCharType="begin"/>
    </w:r>
    <w:r w:rsidRPr="00A436F5">
      <w:rPr>
        <w:rFonts w:ascii="宋体" w:hAnsi="宋体"/>
        <w:sz w:val="28"/>
        <w:szCs w:val="28"/>
      </w:rPr>
      <w:instrText xml:space="preserve"> PAGE   \* MERGEFORMAT </w:instrText>
    </w:r>
    <w:r w:rsidR="001B6495" w:rsidRPr="00A436F5">
      <w:rPr>
        <w:rFonts w:ascii="宋体" w:hAnsi="宋体"/>
        <w:sz w:val="28"/>
        <w:szCs w:val="28"/>
      </w:rPr>
      <w:fldChar w:fldCharType="separate"/>
    </w:r>
    <w:r w:rsidRPr="00EE50B3">
      <w:rPr>
        <w:rFonts w:ascii="宋体" w:hAnsi="宋体"/>
        <w:noProof/>
        <w:sz w:val="28"/>
        <w:szCs w:val="28"/>
        <w:lang w:val="zh-CN"/>
      </w:rPr>
      <w:t>８</w:t>
    </w:r>
    <w:r w:rsidR="001B6495" w:rsidRPr="00A436F5">
      <w:rPr>
        <w:rFonts w:ascii="宋体" w:hAnsi="宋体"/>
        <w:sz w:val="28"/>
        <w:szCs w:val="28"/>
      </w:rPr>
      <w:fldChar w:fldCharType="end"/>
    </w:r>
    <w:r w:rsidRPr="00A436F5">
      <w:rPr>
        <w:rFonts w:ascii="宋体" w:hAnsi="宋体" w:hint="eastAsia"/>
        <w:sz w:val="28"/>
        <w:szCs w:val="28"/>
      </w:rPr>
      <w:t>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7AB" w:rsidRPr="00A436F5" w:rsidRDefault="004B07AB" w:rsidP="00A60080">
    <w:pPr>
      <w:pStyle w:val="a4"/>
      <w:ind w:right="280"/>
      <w:jc w:val="center"/>
      <w:rPr>
        <w:rFonts w:ascii="宋体" w:hAnsi="宋体"/>
        <w:sz w:val="28"/>
        <w:szCs w:val="28"/>
      </w:rPr>
    </w:pPr>
    <w:r w:rsidRPr="00A436F5">
      <w:rPr>
        <w:rFonts w:ascii="宋体" w:hAnsi="宋体" w:hint="eastAsia"/>
        <w:sz w:val="28"/>
        <w:szCs w:val="28"/>
      </w:rPr>
      <w:t>—</w:t>
    </w:r>
    <w:r w:rsidR="001B6495" w:rsidRPr="00A436F5">
      <w:rPr>
        <w:rFonts w:ascii="宋体" w:hAnsi="宋体"/>
        <w:sz w:val="28"/>
        <w:szCs w:val="28"/>
      </w:rPr>
      <w:fldChar w:fldCharType="begin"/>
    </w:r>
    <w:r w:rsidRPr="00A436F5">
      <w:rPr>
        <w:rFonts w:ascii="宋体" w:hAnsi="宋体"/>
        <w:sz w:val="28"/>
        <w:szCs w:val="28"/>
      </w:rPr>
      <w:instrText xml:space="preserve"> PAGE   \* MERGEFORMAT </w:instrText>
    </w:r>
    <w:r w:rsidR="001B6495" w:rsidRPr="00A436F5">
      <w:rPr>
        <w:rFonts w:ascii="宋体" w:hAnsi="宋体"/>
        <w:sz w:val="28"/>
        <w:szCs w:val="28"/>
      </w:rPr>
      <w:fldChar w:fldCharType="separate"/>
    </w:r>
    <w:r w:rsidR="004507AD" w:rsidRPr="004507AD">
      <w:rPr>
        <w:rFonts w:ascii="宋体" w:hAnsi="宋体"/>
        <w:noProof/>
        <w:sz w:val="28"/>
        <w:szCs w:val="28"/>
        <w:lang w:val="zh-CN"/>
      </w:rPr>
      <w:t>4</w:t>
    </w:r>
    <w:r w:rsidR="001B6495" w:rsidRPr="00A436F5">
      <w:rPr>
        <w:rFonts w:ascii="宋体" w:hAnsi="宋体"/>
        <w:sz w:val="28"/>
        <w:szCs w:val="28"/>
      </w:rPr>
      <w:fldChar w:fldCharType="end"/>
    </w:r>
    <w:r w:rsidRPr="00A436F5"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E73" w:rsidRDefault="00063E73" w:rsidP="00973222">
      <w:r>
        <w:separator/>
      </w:r>
    </w:p>
  </w:footnote>
  <w:footnote w:type="continuationSeparator" w:id="1">
    <w:p w:rsidR="00063E73" w:rsidRDefault="00063E73" w:rsidP="009732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0755AD"/>
    <w:multiLevelType w:val="singleLevel"/>
    <w:tmpl w:val="840755AD"/>
    <w:lvl w:ilvl="0">
      <w:start w:val="5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AB78040C"/>
    <w:multiLevelType w:val="singleLevel"/>
    <w:tmpl w:val="AB78040C"/>
    <w:lvl w:ilvl="0">
      <w:start w:val="1"/>
      <w:numFmt w:val="decimal"/>
      <w:suff w:val="nothing"/>
      <w:lvlText w:val="%1．"/>
      <w:lvlJc w:val="left"/>
    </w:lvl>
  </w:abstractNum>
  <w:abstractNum w:abstractNumId="2">
    <w:nsid w:val="B2BEDD3D"/>
    <w:multiLevelType w:val="singleLevel"/>
    <w:tmpl w:val="B2BEDD3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A37B9FC"/>
    <w:multiLevelType w:val="singleLevel"/>
    <w:tmpl w:val="EA37B9FC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EF83F197"/>
    <w:multiLevelType w:val="singleLevel"/>
    <w:tmpl w:val="EF83F19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00000003"/>
    <w:multiLevelType w:val="hybridMultilevel"/>
    <w:tmpl w:val="A1D4E544"/>
    <w:lvl w:ilvl="0" w:tplc="689EF96E">
      <w:start w:val="1"/>
      <w:numFmt w:val="japaneseCounting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6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0BBD340A"/>
    <w:multiLevelType w:val="singleLevel"/>
    <w:tmpl w:val="0BBD340A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8">
    <w:nsid w:val="13CD36EA"/>
    <w:multiLevelType w:val="singleLevel"/>
    <w:tmpl w:val="13CD36EA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9">
    <w:nsid w:val="15048D03"/>
    <w:multiLevelType w:val="singleLevel"/>
    <w:tmpl w:val="15048D0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18326BEA"/>
    <w:multiLevelType w:val="hybridMultilevel"/>
    <w:tmpl w:val="4102336E"/>
    <w:lvl w:ilvl="0" w:tplc="9CB668F6">
      <w:start w:val="1"/>
      <w:numFmt w:val="japaneseCounting"/>
      <w:lvlText w:val="（%1）"/>
      <w:lvlJc w:val="left"/>
      <w:pPr>
        <w:ind w:left="1931" w:hanging="1080"/>
      </w:pPr>
      <w:rPr>
        <w:rFonts w:ascii="方正楷体简体" w:eastAsia="方正楷体简体"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1">
    <w:nsid w:val="1B140953"/>
    <w:multiLevelType w:val="singleLevel"/>
    <w:tmpl w:val="1B140953"/>
    <w:lvl w:ilvl="0">
      <w:start w:val="1"/>
      <w:numFmt w:val="decimal"/>
      <w:suff w:val="nothing"/>
      <w:lvlText w:val="%1．"/>
      <w:lvlJc w:val="left"/>
      <w:rPr>
        <w:rFonts w:cs="Times New Roman"/>
      </w:rPr>
    </w:lvl>
  </w:abstractNum>
  <w:abstractNum w:abstractNumId="12">
    <w:nsid w:val="3471E61D"/>
    <w:multiLevelType w:val="singleLevel"/>
    <w:tmpl w:val="3471E61D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3">
    <w:nsid w:val="43B815CE"/>
    <w:multiLevelType w:val="singleLevel"/>
    <w:tmpl w:val="43B815CE"/>
    <w:lvl w:ilvl="0">
      <w:start w:val="4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4">
    <w:nsid w:val="47796A41"/>
    <w:multiLevelType w:val="singleLevel"/>
    <w:tmpl w:val="47796A4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5">
    <w:nsid w:val="47796EB0"/>
    <w:multiLevelType w:val="singleLevel"/>
    <w:tmpl w:val="47796EB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16">
    <w:nsid w:val="47797A37"/>
    <w:multiLevelType w:val="singleLevel"/>
    <w:tmpl w:val="47797A37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7">
    <w:nsid w:val="47797BC7"/>
    <w:multiLevelType w:val="singleLevel"/>
    <w:tmpl w:val="47797BC7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18">
    <w:nsid w:val="47797F43"/>
    <w:multiLevelType w:val="singleLevel"/>
    <w:tmpl w:val="47797F43"/>
    <w:lvl w:ilvl="0">
      <w:start w:val="2"/>
      <w:numFmt w:val="decimal"/>
      <w:suff w:val="nothing"/>
      <w:lvlText w:val="%1."/>
      <w:lvlJc w:val="left"/>
      <w:rPr>
        <w:rFonts w:cs="Times New Roman"/>
      </w:rPr>
    </w:lvl>
  </w:abstractNum>
  <w:abstractNum w:abstractNumId="19">
    <w:nsid w:val="47798465"/>
    <w:multiLevelType w:val="singleLevel"/>
    <w:tmpl w:val="47798465"/>
    <w:lvl w:ilvl="0">
      <w:start w:val="3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0">
    <w:nsid w:val="477985F7"/>
    <w:multiLevelType w:val="singleLevel"/>
    <w:tmpl w:val="477985F7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1">
    <w:nsid w:val="59991B72"/>
    <w:multiLevelType w:val="hybridMultilevel"/>
    <w:tmpl w:val="F154C438"/>
    <w:lvl w:ilvl="0" w:tplc="E2A675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5AA731D8"/>
    <w:multiLevelType w:val="singleLevel"/>
    <w:tmpl w:val="5AA731D8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23">
    <w:nsid w:val="5DFFCC28"/>
    <w:multiLevelType w:val="singleLevel"/>
    <w:tmpl w:val="5DFFCC2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4">
    <w:nsid w:val="624094BA"/>
    <w:multiLevelType w:val="singleLevel"/>
    <w:tmpl w:val="624094BA"/>
    <w:lvl w:ilvl="0">
      <w:start w:val="2"/>
      <w:numFmt w:val="chineseCounting"/>
      <w:lvlText w:val="(%1)"/>
      <w:lvlJc w:val="left"/>
      <w:pPr>
        <w:tabs>
          <w:tab w:val="num" w:pos="312"/>
        </w:tabs>
      </w:pPr>
      <w:rPr>
        <w:rFonts w:hint="eastAsia"/>
      </w:rPr>
    </w:lvl>
  </w:abstractNum>
  <w:abstractNum w:abstractNumId="25">
    <w:nsid w:val="6774BD48"/>
    <w:multiLevelType w:val="singleLevel"/>
    <w:tmpl w:val="6774BD48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26">
    <w:nsid w:val="7146C79D"/>
    <w:multiLevelType w:val="singleLevel"/>
    <w:tmpl w:val="7146C79D"/>
    <w:lvl w:ilvl="0">
      <w:start w:val="3"/>
      <w:numFmt w:val="chineseCounting"/>
      <w:suff w:val="nothing"/>
      <w:lvlText w:val="%1、"/>
      <w:lvlJc w:val="left"/>
      <w:pPr>
        <w:ind w:left="480"/>
      </w:pPr>
      <w:rPr>
        <w:rFonts w:cs="Times New Roman" w:hint="eastAsia"/>
      </w:rPr>
    </w:lvl>
  </w:abstractNum>
  <w:abstractNum w:abstractNumId="27">
    <w:nsid w:val="7ED80256"/>
    <w:multiLevelType w:val="hybridMultilevel"/>
    <w:tmpl w:val="8B441FFA"/>
    <w:lvl w:ilvl="0" w:tplc="B80C36B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5"/>
  </w:num>
  <w:num w:numId="2">
    <w:abstractNumId w:val="11"/>
  </w:num>
  <w:num w:numId="3">
    <w:abstractNumId w:val="7"/>
  </w:num>
  <w:num w:numId="4">
    <w:abstractNumId w:val="22"/>
  </w:num>
  <w:num w:numId="5">
    <w:abstractNumId w:val="3"/>
  </w:num>
  <w:num w:numId="6">
    <w:abstractNumId w:val="23"/>
  </w:num>
  <w:num w:numId="7">
    <w:abstractNumId w:val="8"/>
  </w:num>
  <w:num w:numId="8">
    <w:abstractNumId w:val="12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4"/>
  </w:num>
  <w:num w:numId="21">
    <w:abstractNumId w:val="24"/>
  </w:num>
  <w:num w:numId="22">
    <w:abstractNumId w:val="5"/>
  </w:num>
  <w:num w:numId="23">
    <w:abstractNumId w:val="21"/>
  </w:num>
  <w:num w:numId="24">
    <w:abstractNumId w:val="1"/>
  </w:num>
  <w:num w:numId="25">
    <w:abstractNumId w:val="13"/>
  </w:num>
  <w:num w:numId="26">
    <w:abstractNumId w:val="26"/>
  </w:num>
  <w:num w:numId="27">
    <w:abstractNumId w:val="27"/>
  </w:num>
  <w:num w:numId="2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222"/>
    <w:rsid w:val="00061EC9"/>
    <w:rsid w:val="00063E73"/>
    <w:rsid w:val="00090C04"/>
    <w:rsid w:val="000D5047"/>
    <w:rsid w:val="000F7446"/>
    <w:rsid w:val="00111E2E"/>
    <w:rsid w:val="0012226B"/>
    <w:rsid w:val="0013004D"/>
    <w:rsid w:val="0018489C"/>
    <w:rsid w:val="001B6495"/>
    <w:rsid w:val="001D5598"/>
    <w:rsid w:val="002D574C"/>
    <w:rsid w:val="002F7F73"/>
    <w:rsid w:val="003347AC"/>
    <w:rsid w:val="003745A6"/>
    <w:rsid w:val="003C2F59"/>
    <w:rsid w:val="003C7A5B"/>
    <w:rsid w:val="004507AD"/>
    <w:rsid w:val="0045342B"/>
    <w:rsid w:val="00466793"/>
    <w:rsid w:val="004854A0"/>
    <w:rsid w:val="00495549"/>
    <w:rsid w:val="004A14D7"/>
    <w:rsid w:val="004A2D76"/>
    <w:rsid w:val="004B07AB"/>
    <w:rsid w:val="004B10AC"/>
    <w:rsid w:val="004C1E09"/>
    <w:rsid w:val="004D4BA1"/>
    <w:rsid w:val="004E6D87"/>
    <w:rsid w:val="005337C8"/>
    <w:rsid w:val="00556D41"/>
    <w:rsid w:val="00561831"/>
    <w:rsid w:val="006030EC"/>
    <w:rsid w:val="00671FCB"/>
    <w:rsid w:val="006B3939"/>
    <w:rsid w:val="0075660F"/>
    <w:rsid w:val="0078205F"/>
    <w:rsid w:val="007A6871"/>
    <w:rsid w:val="007D2D46"/>
    <w:rsid w:val="00801C5A"/>
    <w:rsid w:val="008550F9"/>
    <w:rsid w:val="0087042F"/>
    <w:rsid w:val="00926A56"/>
    <w:rsid w:val="00973222"/>
    <w:rsid w:val="00976F8B"/>
    <w:rsid w:val="00A352AD"/>
    <w:rsid w:val="00A86F43"/>
    <w:rsid w:val="00A970B7"/>
    <w:rsid w:val="00AC2299"/>
    <w:rsid w:val="00B30AFF"/>
    <w:rsid w:val="00B435CA"/>
    <w:rsid w:val="00B5111E"/>
    <w:rsid w:val="00B5726A"/>
    <w:rsid w:val="00BF34DA"/>
    <w:rsid w:val="00CA50CF"/>
    <w:rsid w:val="00CE0565"/>
    <w:rsid w:val="00CE6F29"/>
    <w:rsid w:val="00D377C4"/>
    <w:rsid w:val="00D37C5D"/>
    <w:rsid w:val="00D43F59"/>
    <w:rsid w:val="00D574F5"/>
    <w:rsid w:val="00D7491E"/>
    <w:rsid w:val="00DA5AC3"/>
    <w:rsid w:val="00E44A11"/>
    <w:rsid w:val="00ED7478"/>
    <w:rsid w:val="00EE022A"/>
    <w:rsid w:val="00F81320"/>
    <w:rsid w:val="00F94C49"/>
    <w:rsid w:val="00FB6D0B"/>
    <w:rsid w:val="00FC05C8"/>
    <w:rsid w:val="00FD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732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3222"/>
    <w:rPr>
      <w:sz w:val="18"/>
      <w:szCs w:val="18"/>
    </w:rPr>
  </w:style>
  <w:style w:type="paragraph" w:styleId="a4">
    <w:name w:val="footer"/>
    <w:basedOn w:val="a"/>
    <w:link w:val="Char0"/>
    <w:unhideWhenUsed/>
    <w:rsid w:val="009732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73222"/>
    <w:rPr>
      <w:sz w:val="18"/>
      <w:szCs w:val="18"/>
    </w:rPr>
  </w:style>
  <w:style w:type="character" w:styleId="a5">
    <w:name w:val="line number"/>
    <w:rsid w:val="00556D41"/>
    <w:rPr>
      <w:rFonts w:cs="Times New Roman"/>
    </w:rPr>
  </w:style>
  <w:style w:type="character" w:styleId="a6">
    <w:name w:val="Strong"/>
    <w:qFormat/>
    <w:rsid w:val="00556D41"/>
    <w:rPr>
      <w:rFonts w:cs="Times New Roman"/>
      <w:b/>
      <w:bCs/>
    </w:rPr>
  </w:style>
  <w:style w:type="character" w:styleId="a7">
    <w:name w:val="page number"/>
    <w:basedOn w:val="a5"/>
    <w:rsid w:val="00556D41"/>
  </w:style>
  <w:style w:type="paragraph" w:styleId="a8">
    <w:name w:val="Normal (Web)"/>
    <w:basedOn w:val="a"/>
    <w:uiPriority w:val="99"/>
    <w:rsid w:val="00556D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Title"/>
    <w:basedOn w:val="a"/>
    <w:next w:val="a"/>
    <w:link w:val="Char1"/>
    <w:qFormat/>
    <w:rsid w:val="00556D4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9"/>
    <w:rsid w:val="00556D41"/>
    <w:rPr>
      <w:rFonts w:ascii="Cambria" w:eastAsia="宋体" w:hAnsi="Cambria" w:cs="Times New Roman"/>
      <w:b/>
      <w:bCs/>
      <w:sz w:val="32"/>
      <w:szCs w:val="32"/>
    </w:rPr>
  </w:style>
  <w:style w:type="paragraph" w:customStyle="1" w:styleId="p0">
    <w:name w:val="p0"/>
    <w:basedOn w:val="a"/>
    <w:rsid w:val="00556D41"/>
    <w:pPr>
      <w:widowControl/>
    </w:pPr>
    <w:rPr>
      <w:rFonts w:ascii="Times New Roman" w:hAnsi="Times New Roman"/>
      <w:kern w:val="0"/>
      <w:sz w:val="32"/>
      <w:szCs w:val="32"/>
    </w:rPr>
  </w:style>
  <w:style w:type="paragraph" w:customStyle="1" w:styleId="1">
    <w:name w:val="无间隔1"/>
    <w:rsid w:val="00556D41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Body Text"/>
    <w:basedOn w:val="a"/>
    <w:link w:val="Char2"/>
    <w:rsid w:val="00556D41"/>
    <w:pPr>
      <w:spacing w:after="120"/>
    </w:pPr>
  </w:style>
  <w:style w:type="character" w:customStyle="1" w:styleId="Char2">
    <w:name w:val="正文文本 Char"/>
    <w:basedOn w:val="a0"/>
    <w:link w:val="aa"/>
    <w:rsid w:val="00556D41"/>
    <w:rPr>
      <w:rFonts w:ascii="Calibri" w:eastAsia="宋体" w:hAnsi="Calibri" w:cs="Times New Roman"/>
    </w:rPr>
  </w:style>
  <w:style w:type="paragraph" w:styleId="ab">
    <w:name w:val="Date"/>
    <w:basedOn w:val="a"/>
    <w:next w:val="a"/>
    <w:link w:val="Char3"/>
    <w:rsid w:val="00556D41"/>
    <w:pPr>
      <w:ind w:leftChars="2500" w:left="100"/>
    </w:pPr>
  </w:style>
  <w:style w:type="character" w:customStyle="1" w:styleId="Char3">
    <w:name w:val="日期 Char"/>
    <w:basedOn w:val="a0"/>
    <w:link w:val="ab"/>
    <w:rsid w:val="00556D41"/>
    <w:rPr>
      <w:rFonts w:ascii="Calibri" w:eastAsia="宋体" w:hAnsi="Calibri" w:cs="Times New Roman"/>
    </w:rPr>
  </w:style>
  <w:style w:type="paragraph" w:styleId="ac">
    <w:name w:val="Body Text Indent"/>
    <w:basedOn w:val="a"/>
    <w:link w:val="Char4"/>
    <w:rsid w:val="00556D41"/>
    <w:pPr>
      <w:ind w:firstLineChars="200" w:firstLine="617"/>
    </w:pPr>
    <w:rPr>
      <w:rFonts w:ascii="仿宋_GB2312" w:eastAsia="仿宋_GB2312" w:hAnsi="Times New Roman"/>
      <w:sz w:val="32"/>
    </w:rPr>
  </w:style>
  <w:style w:type="character" w:customStyle="1" w:styleId="Char4">
    <w:name w:val="正文文本缩进 Char"/>
    <w:basedOn w:val="a0"/>
    <w:link w:val="ac"/>
    <w:rsid w:val="00556D41"/>
    <w:rPr>
      <w:rFonts w:ascii="仿宋_GB2312" w:eastAsia="仿宋_GB2312" w:hAnsi="Times New Roman" w:cs="Times New Roman"/>
      <w:sz w:val="32"/>
    </w:rPr>
  </w:style>
  <w:style w:type="paragraph" w:styleId="ad">
    <w:name w:val="caption"/>
    <w:basedOn w:val="a"/>
    <w:next w:val="a"/>
    <w:qFormat/>
    <w:rsid w:val="00556D41"/>
    <w:rPr>
      <w:rFonts w:ascii="Arial" w:eastAsia="黑体" w:hAnsi="Arial"/>
      <w:sz w:val="20"/>
    </w:rPr>
  </w:style>
  <w:style w:type="paragraph" w:customStyle="1" w:styleId="Normal0">
    <w:name w:val="Normal_0"/>
    <w:rsid w:val="00556D41"/>
    <w:pPr>
      <w:spacing w:before="120" w:after="240"/>
      <w:jc w:val="both"/>
    </w:pPr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ListParagraph1">
    <w:name w:val="List Paragraph1"/>
    <w:basedOn w:val="a"/>
    <w:rsid w:val="00556D4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customStyle="1" w:styleId="Char2CharCharChar">
    <w:name w:val="Char2 Char Char Char"/>
    <w:basedOn w:val="a"/>
    <w:rsid w:val="00556D41"/>
    <w:rPr>
      <w:rFonts w:ascii="仿宋_GB2312" w:hAnsi="Times New Roman"/>
      <w:b/>
      <w:sz w:val="30"/>
      <w:szCs w:val="32"/>
    </w:rPr>
  </w:style>
  <w:style w:type="table" w:styleId="ae">
    <w:name w:val="Table Grid"/>
    <w:basedOn w:val="a1"/>
    <w:rsid w:val="00556D4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rsid w:val="00556D41"/>
    <w:pPr>
      <w:ind w:firstLineChars="200" w:firstLine="420"/>
    </w:pPr>
    <w:rPr>
      <w:rFonts w:cs="宋体"/>
    </w:rPr>
  </w:style>
  <w:style w:type="paragraph" w:customStyle="1" w:styleId="0">
    <w:name w:val="0"/>
    <w:basedOn w:val="a"/>
    <w:rsid w:val="00976F8B"/>
    <w:pPr>
      <w:widowControl/>
      <w:snapToGrid w:val="0"/>
      <w:jc w:val="left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424</Words>
  <Characters>2423</Characters>
  <Application>Microsoft Office Word</Application>
  <DocSecurity>0</DocSecurity>
  <Lines>20</Lines>
  <Paragraphs>5</Paragraphs>
  <ScaleCrop>false</ScaleCrop>
  <Company>微软中国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25</cp:revision>
  <dcterms:created xsi:type="dcterms:W3CDTF">2018-08-02T02:47:00Z</dcterms:created>
  <dcterms:modified xsi:type="dcterms:W3CDTF">2018-11-01T06:55:00Z</dcterms:modified>
</cp:coreProperties>
</file>