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7CF" w:rsidRPr="00DE776C" w:rsidRDefault="004D37CF" w:rsidP="004D37CF">
      <w:pPr>
        <w:spacing w:line="576" w:lineRule="exact"/>
        <w:jc w:val="left"/>
        <w:rPr>
          <w:rFonts w:ascii="Times New Roman" w:eastAsia="黑体" w:hAnsi="Times New Roman"/>
          <w:w w:val="95"/>
          <w:sz w:val="44"/>
        </w:rPr>
      </w:pPr>
      <w:r w:rsidRPr="00DE776C">
        <w:rPr>
          <w:rFonts w:ascii="Times New Roman" w:eastAsia="黑体" w:hAnsi="Times New Roman"/>
          <w:sz w:val="32"/>
        </w:rPr>
        <w:t>附件</w:t>
      </w:r>
      <w:r w:rsidRPr="00DE776C">
        <w:rPr>
          <w:rFonts w:ascii="Times New Roman" w:eastAsia="黑体" w:hAnsi="Times New Roman"/>
          <w:sz w:val="32"/>
        </w:rPr>
        <w:t>2</w:t>
      </w:r>
    </w:p>
    <w:p w:rsidR="004D37CF" w:rsidRPr="00DE776C" w:rsidRDefault="004D37CF" w:rsidP="004D37CF">
      <w:pPr>
        <w:spacing w:line="576" w:lineRule="exact"/>
        <w:outlineLvl w:val="2"/>
        <w:rPr>
          <w:rFonts w:ascii="Times New Roman" w:eastAsia="方正小标宋简体" w:hAnsi="Times New Roman"/>
          <w:kern w:val="0"/>
          <w:sz w:val="44"/>
        </w:rPr>
      </w:pPr>
    </w:p>
    <w:p w:rsidR="004D37CF" w:rsidRPr="00DE776C" w:rsidRDefault="004D37CF" w:rsidP="004D37CF">
      <w:pPr>
        <w:spacing w:line="576" w:lineRule="exact"/>
        <w:jc w:val="center"/>
        <w:outlineLvl w:val="2"/>
        <w:rPr>
          <w:rFonts w:ascii="Times New Roman" w:eastAsia="方正小标宋简体" w:hAnsi="Times New Roman"/>
          <w:kern w:val="0"/>
          <w:sz w:val="36"/>
        </w:rPr>
      </w:pPr>
      <w:r w:rsidRPr="00DE776C">
        <w:rPr>
          <w:rFonts w:ascii="Times New Roman" w:eastAsia="方正小标宋简体" w:hAnsi="Times New Roman"/>
          <w:kern w:val="0"/>
          <w:sz w:val="36"/>
        </w:rPr>
        <w:t>应急减排措施基本要求</w:t>
      </w:r>
    </w:p>
    <w:p w:rsidR="004D37CF" w:rsidRPr="00DE776C" w:rsidRDefault="004D37CF" w:rsidP="004D37CF">
      <w:pPr>
        <w:spacing w:line="576" w:lineRule="exact"/>
        <w:ind w:firstLineChars="200" w:firstLine="640"/>
        <w:outlineLvl w:val="3"/>
        <w:rPr>
          <w:rFonts w:ascii="Times New Roman" w:eastAsia="仿宋_GB2312" w:hAnsi="Times New Roman"/>
          <w:kern w:val="0"/>
          <w:sz w:val="32"/>
        </w:rPr>
      </w:pPr>
    </w:p>
    <w:p w:rsidR="004D37CF" w:rsidRPr="00DE776C" w:rsidRDefault="004D37CF" w:rsidP="004D37CF">
      <w:pPr>
        <w:spacing w:line="576" w:lineRule="exact"/>
        <w:ind w:firstLineChars="200" w:firstLine="640"/>
        <w:outlineLvl w:val="3"/>
        <w:rPr>
          <w:rFonts w:ascii="Times New Roman" w:eastAsia="黑体" w:hAnsi="Times New Roman"/>
          <w:kern w:val="0"/>
          <w:sz w:val="32"/>
        </w:rPr>
      </w:pPr>
      <w:r w:rsidRPr="00DE776C">
        <w:rPr>
          <w:rFonts w:ascii="Times New Roman" w:eastAsia="黑体" w:hAnsi="Times New Roman"/>
          <w:kern w:val="0"/>
          <w:sz w:val="32"/>
        </w:rPr>
        <w:t>一、总体要求和基本原则</w:t>
      </w:r>
    </w:p>
    <w:p w:rsidR="004D37CF" w:rsidRPr="00DE776C" w:rsidRDefault="004D37CF" w:rsidP="004D37CF">
      <w:pPr>
        <w:spacing w:line="576" w:lineRule="exact"/>
        <w:ind w:firstLineChars="200" w:firstLine="640"/>
        <w:rPr>
          <w:rFonts w:ascii="Times New Roman" w:eastAsia="楷体_GB2312" w:hAnsi="Times New Roman"/>
          <w:kern w:val="0"/>
          <w:sz w:val="32"/>
        </w:rPr>
      </w:pPr>
      <w:r w:rsidRPr="00DE776C">
        <w:rPr>
          <w:rFonts w:ascii="Times New Roman" w:eastAsia="楷体_GB2312" w:hAnsi="Times New Roman"/>
          <w:kern w:val="0"/>
          <w:sz w:val="32"/>
        </w:rPr>
        <w:t>（一）总体要求</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重污染天气应急减排措施是在落实大气污染治理日常措施的基础上，对减排力度的进一步强化。应急减排措施应具有延伸效能，推动产业布局调整、重点行业污染治理升级改造、燃煤锅炉综合整治等污染防治攻坚主体政策的落实。按照针对性、有效性、可操作和可考核的原则，以尽可能降低污染程度为目标，在减少对社会尤其是对居民生活影响的前提下，制定和实施重污染天气应急减排措施，最大程度减少污染物排放。</w:t>
      </w:r>
    </w:p>
    <w:p w:rsidR="004D37CF" w:rsidRPr="00DE776C" w:rsidRDefault="004D37CF" w:rsidP="004D37CF">
      <w:pPr>
        <w:spacing w:line="576" w:lineRule="exact"/>
        <w:ind w:firstLineChars="200" w:firstLine="640"/>
        <w:rPr>
          <w:rFonts w:ascii="Times New Roman" w:eastAsia="楷体_GB2312" w:hAnsi="Times New Roman"/>
          <w:kern w:val="0"/>
          <w:sz w:val="32"/>
        </w:rPr>
      </w:pPr>
      <w:r w:rsidRPr="00DE776C">
        <w:rPr>
          <w:rFonts w:ascii="Times New Roman" w:eastAsia="楷体_GB2312" w:hAnsi="Times New Roman"/>
          <w:kern w:val="0"/>
          <w:sz w:val="32"/>
        </w:rPr>
        <w:t>（二）基本原则</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．针对性原则</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在制定应急减排措施时，应根据源解析结果和污染物排放构成选取应急管控重点对象。同行业内企业应根据污染物排放绩效水平进行排序，优先管控不能稳定达标排放的企业；企业应优先选取污染物排放量较大且能够快速安全减排的工艺环节。移动源管控措施应重点聚焦污染物排放量大的重型载货车。</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．有效性原则</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应急减排措施应有效减少企业生产活动全过程（包括物</w:t>
      </w:r>
      <w:r w:rsidRPr="00DE776C">
        <w:rPr>
          <w:rFonts w:ascii="Times New Roman" w:eastAsia="仿宋_GB2312" w:hAnsi="Times New Roman"/>
          <w:kern w:val="0"/>
          <w:sz w:val="32"/>
        </w:rPr>
        <w:lastRenderedPageBreak/>
        <w:t>料运输、堆存、原料准备、生产、成品运输等环节）的污染物排放，减少整个重污染天气高发季节应急措施对生产活动的扰动频次。应急管控对象企业应尽可能采取停产或限产（整条生产线停产）等方式实现应急减排，鼓励产能严重过剩的行业在采暖季实施错峰生产，一般产能过剩的行业以月或两月为单位实施轮流错峰生产。</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．可操作原则</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应急减排应分门别类提出切实有效、便于操作的减排措施，避免采取</w:t>
      </w:r>
      <w:r w:rsidRPr="00DE776C">
        <w:rPr>
          <w:rFonts w:ascii="Times New Roman" w:eastAsia="仿宋_GB2312" w:hAnsi="Times New Roman"/>
          <w:kern w:val="0"/>
          <w:sz w:val="32"/>
        </w:rPr>
        <w:t>“</w:t>
      </w:r>
      <w:r w:rsidRPr="00DE776C">
        <w:rPr>
          <w:rFonts w:ascii="Times New Roman" w:eastAsia="仿宋_GB2312" w:hAnsi="Times New Roman"/>
          <w:kern w:val="0"/>
          <w:sz w:val="32"/>
        </w:rPr>
        <w:t>一刀切</w:t>
      </w:r>
      <w:r w:rsidRPr="00DE776C">
        <w:rPr>
          <w:rFonts w:ascii="Times New Roman" w:eastAsia="仿宋_GB2312" w:hAnsi="Times New Roman"/>
          <w:kern w:val="0"/>
          <w:sz w:val="32"/>
        </w:rPr>
        <w:t>”</w:t>
      </w:r>
      <w:r w:rsidRPr="00DE776C">
        <w:rPr>
          <w:rFonts w:ascii="Times New Roman" w:eastAsia="仿宋_GB2312" w:hAnsi="Times New Roman"/>
          <w:kern w:val="0"/>
          <w:sz w:val="32"/>
        </w:rPr>
        <w:t>的应急减排方式，确保措施能落地、可操作。工业企业减排措施要具体可行，制定具体的减排措施，明确管理实施流程，做到</w:t>
      </w:r>
      <w:r w:rsidRPr="00DE776C">
        <w:rPr>
          <w:rFonts w:ascii="Times New Roman" w:eastAsia="仿宋_GB2312" w:hAnsi="Times New Roman"/>
          <w:kern w:val="0"/>
          <w:sz w:val="32"/>
        </w:rPr>
        <w:t>“</w:t>
      </w:r>
      <w:r w:rsidRPr="00DE776C">
        <w:rPr>
          <w:rFonts w:ascii="Times New Roman" w:eastAsia="仿宋_GB2312" w:hAnsi="Times New Roman"/>
          <w:kern w:val="0"/>
          <w:sz w:val="32"/>
        </w:rPr>
        <w:t>一厂一策</w:t>
      </w:r>
      <w:r w:rsidRPr="00DE776C">
        <w:rPr>
          <w:rFonts w:ascii="Times New Roman" w:eastAsia="仿宋_GB2312" w:hAnsi="Times New Roman"/>
          <w:kern w:val="0"/>
          <w:sz w:val="32"/>
        </w:rPr>
        <w:t>”</w:t>
      </w:r>
      <w:r w:rsidRPr="00DE776C">
        <w:rPr>
          <w:rFonts w:ascii="Times New Roman" w:eastAsia="仿宋_GB2312" w:hAnsi="Times New Roman"/>
          <w:kern w:val="0"/>
          <w:sz w:val="32"/>
        </w:rPr>
        <w:t>。</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4</w:t>
      </w:r>
      <w:r w:rsidRPr="00DE776C">
        <w:rPr>
          <w:rFonts w:ascii="Times New Roman" w:eastAsia="仿宋_GB2312" w:hAnsi="Times New Roman"/>
          <w:kern w:val="0"/>
          <w:sz w:val="32"/>
        </w:rPr>
        <w:t>．可考核原则</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应急减排措施应明确责任主体和分工部门，确定考核问责机制。应急减排清单应符合编制规范，明确企业单位的具体信息，停限产措施要落实到每个工序、每个环节，以便监督管理。</w:t>
      </w:r>
    </w:p>
    <w:p w:rsidR="004D37CF" w:rsidRPr="00DE776C" w:rsidRDefault="004D37CF" w:rsidP="004D37CF">
      <w:pPr>
        <w:spacing w:line="576" w:lineRule="exact"/>
        <w:ind w:firstLineChars="200" w:firstLine="640"/>
        <w:outlineLvl w:val="3"/>
        <w:rPr>
          <w:rFonts w:ascii="Times New Roman" w:eastAsia="黑体" w:hAnsi="Times New Roman"/>
          <w:kern w:val="0"/>
          <w:sz w:val="32"/>
        </w:rPr>
      </w:pPr>
      <w:r w:rsidRPr="00DE776C">
        <w:rPr>
          <w:rFonts w:ascii="Times New Roman" w:eastAsia="黑体" w:hAnsi="Times New Roman"/>
          <w:kern w:val="0"/>
          <w:sz w:val="32"/>
        </w:rPr>
        <w:t>二、减排比例要求</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重污染天气应急期间，</w:t>
      </w:r>
      <w:r w:rsidRPr="00DE776C">
        <w:rPr>
          <w:rFonts w:ascii="Times New Roman" w:eastAsia="仿宋_GB2312" w:hAnsi="Times New Roman"/>
          <w:kern w:val="0"/>
          <w:sz w:val="32"/>
        </w:rPr>
        <w:t>SO</w:t>
      </w:r>
      <w:r w:rsidRPr="00DE776C">
        <w:rPr>
          <w:rFonts w:ascii="Times New Roman" w:eastAsia="仿宋_GB2312" w:hAnsi="Times New Roman"/>
          <w:kern w:val="0"/>
          <w:sz w:val="32"/>
          <w:vertAlign w:val="subscript"/>
        </w:rPr>
        <w:t>2</w:t>
      </w:r>
      <w:r w:rsidRPr="00DE776C">
        <w:rPr>
          <w:rFonts w:ascii="Times New Roman" w:eastAsia="仿宋_GB2312" w:hAnsi="Times New Roman"/>
          <w:kern w:val="0"/>
          <w:sz w:val="32"/>
        </w:rPr>
        <w:t>、</w:t>
      </w:r>
      <w:r w:rsidRPr="00DE776C">
        <w:rPr>
          <w:rFonts w:ascii="Times New Roman" w:eastAsia="仿宋_GB2312" w:hAnsi="Times New Roman"/>
          <w:kern w:val="0"/>
          <w:sz w:val="32"/>
        </w:rPr>
        <w:t>NOx</w:t>
      </w:r>
      <w:r w:rsidRPr="00DE776C">
        <w:rPr>
          <w:rFonts w:ascii="Times New Roman" w:eastAsia="仿宋_GB2312" w:hAnsi="Times New Roman"/>
          <w:kern w:val="0"/>
          <w:sz w:val="32"/>
        </w:rPr>
        <w:t>、</w:t>
      </w:r>
      <w:r w:rsidRPr="00DE776C">
        <w:rPr>
          <w:rFonts w:ascii="Times New Roman" w:eastAsia="仿宋_GB2312" w:hAnsi="Times New Roman"/>
          <w:kern w:val="0"/>
          <w:sz w:val="32"/>
        </w:rPr>
        <w:t>PM</w:t>
      </w:r>
      <w:r w:rsidRPr="00DE776C">
        <w:rPr>
          <w:rFonts w:ascii="Times New Roman" w:eastAsia="仿宋_GB2312" w:hAnsi="Times New Roman"/>
          <w:kern w:val="0"/>
          <w:sz w:val="32"/>
        </w:rPr>
        <w:t>等主要污染物在黄色、橙色和红色预警级别的减排比例应分别达到全社会占比的</w:t>
      </w:r>
      <w:r w:rsidRPr="00DE776C">
        <w:rPr>
          <w:rFonts w:ascii="Times New Roman" w:eastAsia="仿宋_GB2312" w:hAnsi="Times New Roman"/>
          <w:kern w:val="0"/>
          <w:sz w:val="32"/>
        </w:rPr>
        <w:t>10%</w:t>
      </w:r>
      <w:r w:rsidRPr="00DE776C">
        <w:rPr>
          <w:rFonts w:ascii="Times New Roman" w:eastAsia="仿宋_GB2312" w:hAnsi="Times New Roman"/>
          <w:kern w:val="0"/>
          <w:sz w:val="32"/>
        </w:rPr>
        <w:t>、</w:t>
      </w:r>
      <w:r w:rsidRPr="00DE776C">
        <w:rPr>
          <w:rFonts w:ascii="Times New Roman" w:eastAsia="仿宋_GB2312" w:hAnsi="Times New Roman"/>
          <w:kern w:val="0"/>
          <w:sz w:val="32"/>
        </w:rPr>
        <w:t>20%</w:t>
      </w:r>
      <w:r w:rsidRPr="00DE776C">
        <w:rPr>
          <w:rFonts w:ascii="Times New Roman" w:eastAsia="仿宋_GB2312" w:hAnsi="Times New Roman"/>
          <w:kern w:val="0"/>
          <w:sz w:val="32"/>
        </w:rPr>
        <w:t>和</w:t>
      </w:r>
      <w:r w:rsidRPr="00DE776C">
        <w:rPr>
          <w:rFonts w:ascii="Times New Roman" w:eastAsia="仿宋_GB2312" w:hAnsi="Times New Roman"/>
          <w:kern w:val="0"/>
          <w:sz w:val="32"/>
        </w:rPr>
        <w:t>30%</w:t>
      </w:r>
      <w:r w:rsidRPr="00DE776C">
        <w:rPr>
          <w:rFonts w:ascii="Times New Roman" w:eastAsia="仿宋_GB2312" w:hAnsi="Times New Roman"/>
          <w:kern w:val="0"/>
          <w:sz w:val="32"/>
        </w:rPr>
        <w:t>以上；</w:t>
      </w:r>
      <w:r w:rsidRPr="00DE776C">
        <w:rPr>
          <w:rFonts w:ascii="Times New Roman" w:eastAsia="仿宋_GB2312" w:hAnsi="Times New Roman"/>
          <w:kern w:val="0"/>
          <w:sz w:val="32"/>
        </w:rPr>
        <w:t>VOCs</w:t>
      </w:r>
      <w:r w:rsidRPr="00DE776C">
        <w:rPr>
          <w:rFonts w:ascii="Times New Roman" w:eastAsia="仿宋_GB2312" w:hAnsi="Times New Roman"/>
          <w:kern w:val="0"/>
          <w:sz w:val="32"/>
        </w:rPr>
        <w:t>减排比例应分别达到</w:t>
      </w:r>
      <w:r w:rsidRPr="00DE776C">
        <w:rPr>
          <w:rFonts w:ascii="Times New Roman" w:eastAsia="仿宋_GB2312" w:hAnsi="Times New Roman"/>
          <w:kern w:val="0"/>
          <w:sz w:val="32"/>
        </w:rPr>
        <w:t>10%</w:t>
      </w:r>
      <w:r w:rsidRPr="00DE776C">
        <w:rPr>
          <w:rFonts w:ascii="Times New Roman" w:eastAsia="仿宋_GB2312" w:hAnsi="Times New Roman"/>
          <w:kern w:val="0"/>
          <w:sz w:val="32"/>
        </w:rPr>
        <w:t>、</w:t>
      </w:r>
      <w:r w:rsidRPr="00DE776C">
        <w:rPr>
          <w:rFonts w:ascii="Times New Roman" w:eastAsia="仿宋_GB2312" w:hAnsi="Times New Roman"/>
          <w:kern w:val="0"/>
          <w:sz w:val="32"/>
        </w:rPr>
        <w:t>15%</w:t>
      </w:r>
      <w:r w:rsidRPr="00DE776C">
        <w:rPr>
          <w:rFonts w:ascii="Times New Roman" w:eastAsia="仿宋_GB2312" w:hAnsi="Times New Roman"/>
          <w:kern w:val="0"/>
          <w:sz w:val="32"/>
        </w:rPr>
        <w:t>和</w:t>
      </w:r>
      <w:r w:rsidRPr="00DE776C">
        <w:rPr>
          <w:rFonts w:ascii="Times New Roman" w:eastAsia="仿宋_GB2312" w:hAnsi="Times New Roman"/>
          <w:kern w:val="0"/>
          <w:sz w:val="32"/>
        </w:rPr>
        <w:t>20%</w:t>
      </w:r>
      <w:r w:rsidRPr="00DE776C">
        <w:rPr>
          <w:rFonts w:ascii="Times New Roman" w:eastAsia="仿宋_GB2312" w:hAnsi="Times New Roman"/>
          <w:kern w:val="0"/>
          <w:sz w:val="32"/>
        </w:rPr>
        <w:t>以上。制定应急管控清单时可根据我市污染物排放构成调整</w:t>
      </w:r>
      <w:r w:rsidRPr="00DE776C">
        <w:rPr>
          <w:rFonts w:ascii="Times New Roman" w:eastAsia="仿宋_GB2312" w:hAnsi="Times New Roman"/>
          <w:kern w:val="0"/>
          <w:sz w:val="32"/>
        </w:rPr>
        <w:t>SO</w:t>
      </w:r>
      <w:r w:rsidRPr="00DE776C">
        <w:rPr>
          <w:rFonts w:ascii="Times New Roman" w:eastAsia="仿宋_GB2312" w:hAnsi="Times New Roman"/>
          <w:kern w:val="0"/>
          <w:sz w:val="32"/>
          <w:vertAlign w:val="subscript"/>
        </w:rPr>
        <w:t>2</w:t>
      </w:r>
      <w:r w:rsidRPr="00DE776C">
        <w:rPr>
          <w:rFonts w:ascii="Times New Roman" w:eastAsia="仿宋_GB2312" w:hAnsi="Times New Roman"/>
          <w:kern w:val="0"/>
          <w:sz w:val="32"/>
        </w:rPr>
        <w:t>和</w:t>
      </w:r>
      <w:r w:rsidRPr="00DE776C">
        <w:rPr>
          <w:rFonts w:ascii="Times New Roman" w:eastAsia="仿宋_GB2312" w:hAnsi="Times New Roman"/>
          <w:kern w:val="0"/>
          <w:sz w:val="32"/>
        </w:rPr>
        <w:t>NOx</w:t>
      </w:r>
      <w:r w:rsidRPr="00DE776C">
        <w:rPr>
          <w:rFonts w:ascii="Times New Roman" w:eastAsia="仿宋_GB2312" w:hAnsi="Times New Roman"/>
          <w:kern w:val="0"/>
          <w:sz w:val="32"/>
        </w:rPr>
        <w:t>的减排比例，但二者减排比例之和不应低于上述总体要求。</w:t>
      </w:r>
    </w:p>
    <w:p w:rsidR="004D37CF" w:rsidRPr="00DE776C" w:rsidRDefault="004D37CF" w:rsidP="004D37CF">
      <w:pPr>
        <w:spacing w:line="576" w:lineRule="exact"/>
        <w:ind w:firstLineChars="200" w:firstLine="640"/>
        <w:outlineLvl w:val="3"/>
        <w:rPr>
          <w:rFonts w:ascii="Times New Roman" w:eastAsia="黑体" w:hAnsi="Times New Roman"/>
          <w:kern w:val="0"/>
          <w:sz w:val="32"/>
        </w:rPr>
      </w:pPr>
      <w:r w:rsidRPr="00DE776C">
        <w:rPr>
          <w:rFonts w:ascii="Times New Roman" w:eastAsia="黑体" w:hAnsi="Times New Roman"/>
          <w:kern w:val="0"/>
          <w:sz w:val="32"/>
        </w:rPr>
        <w:t>三、减排基数核算方法</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lastRenderedPageBreak/>
        <w:t>开展减排基数核算是科学制定和评估重污染天气应急减排措施的重要基础。减排基数核算包括基础排放清单建立及排放量核算、应急减排基数核算、日减排基数核算三部分。减排基数每年核算一次。</w:t>
      </w:r>
    </w:p>
    <w:p w:rsidR="004D37CF" w:rsidRPr="00DE776C" w:rsidRDefault="004D37CF" w:rsidP="004D37CF">
      <w:pPr>
        <w:spacing w:line="576" w:lineRule="exact"/>
        <w:ind w:firstLineChars="200" w:firstLine="640"/>
        <w:rPr>
          <w:rFonts w:ascii="Times New Roman" w:eastAsia="楷体_GB2312" w:hAnsi="Times New Roman"/>
          <w:kern w:val="0"/>
          <w:sz w:val="32"/>
        </w:rPr>
      </w:pPr>
      <w:r w:rsidRPr="00DE776C">
        <w:rPr>
          <w:rFonts w:ascii="Times New Roman" w:eastAsia="楷体_GB2312" w:hAnsi="Times New Roman"/>
          <w:kern w:val="0"/>
          <w:sz w:val="32"/>
        </w:rPr>
        <w:t>（一）基础排放清单建立</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参考《关于推进重污染天气应急预案修订工作的指导意见》（环办大气函〔</w:t>
      </w:r>
      <w:r w:rsidRPr="00DE776C">
        <w:rPr>
          <w:rFonts w:ascii="Times New Roman" w:eastAsia="仿宋_GB2312" w:hAnsi="Times New Roman"/>
          <w:kern w:val="0"/>
          <w:sz w:val="32"/>
        </w:rPr>
        <w:t>2018</w:t>
      </w:r>
      <w:r w:rsidRPr="00DE776C">
        <w:rPr>
          <w:rFonts w:ascii="Times New Roman" w:eastAsia="仿宋_GB2312" w:hAnsi="Times New Roman"/>
          <w:kern w:val="0"/>
          <w:sz w:val="32"/>
        </w:rPr>
        <w:t>〕</w:t>
      </w:r>
      <w:r w:rsidRPr="00DE776C">
        <w:rPr>
          <w:rFonts w:ascii="Times New Roman" w:eastAsia="仿宋_GB2312" w:hAnsi="Times New Roman"/>
          <w:kern w:val="0"/>
          <w:sz w:val="32"/>
        </w:rPr>
        <w:t>875</w:t>
      </w:r>
      <w:r w:rsidRPr="00DE776C">
        <w:rPr>
          <w:rFonts w:ascii="Times New Roman" w:eastAsia="仿宋_GB2312" w:hAnsi="Times New Roman"/>
          <w:kern w:val="0"/>
          <w:sz w:val="32"/>
        </w:rPr>
        <w:t>号）要求，建立应急减排基础排放清单，明确排污信息。</w:t>
      </w:r>
    </w:p>
    <w:p w:rsidR="004D37CF" w:rsidRPr="00DE776C" w:rsidRDefault="004D37CF" w:rsidP="004D37CF">
      <w:pPr>
        <w:spacing w:line="576" w:lineRule="exact"/>
        <w:ind w:firstLineChars="200" w:firstLine="640"/>
        <w:rPr>
          <w:rFonts w:ascii="Times New Roman" w:eastAsia="楷体_GB2312" w:hAnsi="Times New Roman"/>
          <w:kern w:val="0"/>
          <w:sz w:val="32"/>
        </w:rPr>
      </w:pPr>
      <w:r w:rsidRPr="00DE776C">
        <w:rPr>
          <w:rFonts w:ascii="Times New Roman" w:eastAsia="楷体_GB2312" w:hAnsi="Times New Roman"/>
          <w:kern w:val="0"/>
          <w:sz w:val="32"/>
        </w:rPr>
        <w:t>（二）应急减排基数核算方法</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应急减排基数是在基础排放量中扣除当年常规治理措施减排量，并叠加当年新增产能导致的污染新增量后得到的全年减排基数。对于当年已取缔或计划取缔的</w:t>
      </w:r>
      <w:r w:rsidRPr="00DE776C">
        <w:rPr>
          <w:rFonts w:ascii="Times New Roman" w:eastAsia="仿宋_GB2312" w:hAnsi="Times New Roman"/>
          <w:kern w:val="0"/>
          <w:sz w:val="32"/>
        </w:rPr>
        <w:t>“</w:t>
      </w:r>
      <w:r w:rsidRPr="00DE776C">
        <w:rPr>
          <w:rFonts w:ascii="Times New Roman" w:eastAsia="仿宋_GB2312" w:hAnsi="Times New Roman"/>
          <w:kern w:val="0"/>
          <w:sz w:val="32"/>
        </w:rPr>
        <w:t>散乱污</w:t>
      </w:r>
      <w:r w:rsidRPr="00DE776C">
        <w:rPr>
          <w:rFonts w:ascii="Times New Roman" w:eastAsia="仿宋_GB2312" w:hAnsi="Times New Roman"/>
          <w:kern w:val="0"/>
          <w:sz w:val="32"/>
        </w:rPr>
        <w:t>”</w:t>
      </w:r>
      <w:r w:rsidRPr="00DE776C">
        <w:rPr>
          <w:rFonts w:ascii="Times New Roman" w:eastAsia="仿宋_GB2312" w:hAnsi="Times New Roman"/>
          <w:kern w:val="0"/>
          <w:sz w:val="32"/>
        </w:rPr>
        <w:t>企业，已淘汰或计划淘汰的燃煤锅炉、黄标车等对应的污染排放量，均不应纳入应急减排基数。应急减排基数核算主要针对工业源、移动源和扬尘源等</w:t>
      </w:r>
      <w:r w:rsidRPr="00DE776C">
        <w:rPr>
          <w:rFonts w:ascii="Times New Roman" w:eastAsia="仿宋_GB2312" w:hAnsi="Times New Roman"/>
          <w:kern w:val="0"/>
          <w:sz w:val="32"/>
        </w:rPr>
        <w:t>3</w:t>
      </w:r>
      <w:r w:rsidRPr="00DE776C">
        <w:rPr>
          <w:rFonts w:ascii="Times New Roman" w:eastAsia="仿宋_GB2312" w:hAnsi="Times New Roman"/>
          <w:kern w:val="0"/>
          <w:sz w:val="32"/>
        </w:rPr>
        <w:t>种主要大气污染源进行。</w:t>
      </w:r>
    </w:p>
    <w:p w:rsidR="004D37CF" w:rsidRPr="00DE776C" w:rsidRDefault="004D37CF" w:rsidP="004D37CF">
      <w:pPr>
        <w:spacing w:line="576" w:lineRule="exact"/>
        <w:ind w:firstLineChars="200" w:firstLine="640"/>
        <w:rPr>
          <w:rFonts w:ascii="Times New Roman" w:eastAsia="楷体_GB2312" w:hAnsi="Times New Roman"/>
          <w:kern w:val="0"/>
          <w:sz w:val="32"/>
        </w:rPr>
      </w:pPr>
      <w:r w:rsidRPr="00DE776C">
        <w:rPr>
          <w:rFonts w:ascii="Times New Roman" w:eastAsia="楷体_GB2312" w:hAnsi="Times New Roman"/>
          <w:kern w:val="0"/>
          <w:sz w:val="32"/>
        </w:rPr>
        <w:t>（三）日减排基数核算方法</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日减排基数是应急减排基数折算到每日的排放量，用于测算重污染天气应急措施减排比例。工业企业原则上按照全年排放量除以</w:t>
      </w:r>
      <w:r w:rsidRPr="00DE776C">
        <w:rPr>
          <w:rFonts w:ascii="Times New Roman" w:eastAsia="仿宋_GB2312" w:hAnsi="Times New Roman"/>
          <w:kern w:val="0"/>
          <w:sz w:val="32"/>
        </w:rPr>
        <w:t>330</w:t>
      </w:r>
      <w:r w:rsidRPr="00DE776C">
        <w:rPr>
          <w:rFonts w:ascii="Times New Roman" w:eastAsia="仿宋_GB2312" w:hAnsi="Times New Roman"/>
          <w:kern w:val="0"/>
          <w:sz w:val="32"/>
        </w:rPr>
        <w:t>天折算；采暖锅炉和民用散煤按照实际供暖天数折算；移动源和扬尘源按照</w:t>
      </w:r>
      <w:r w:rsidRPr="00DE776C">
        <w:rPr>
          <w:rFonts w:ascii="Times New Roman" w:eastAsia="仿宋_GB2312" w:hAnsi="Times New Roman"/>
          <w:kern w:val="0"/>
          <w:sz w:val="32"/>
        </w:rPr>
        <w:t>365</w:t>
      </w:r>
      <w:r w:rsidRPr="00DE776C">
        <w:rPr>
          <w:rFonts w:ascii="Times New Roman" w:eastAsia="仿宋_GB2312" w:hAnsi="Times New Roman"/>
          <w:kern w:val="0"/>
          <w:sz w:val="32"/>
        </w:rPr>
        <w:t>天折算。扬尘排放量作为颗粒物排放量的一部分单独计算，其减排比例上限应按照分季节的</w:t>
      </w:r>
      <w:r w:rsidRPr="00DE776C">
        <w:rPr>
          <w:rFonts w:ascii="Times New Roman" w:eastAsia="仿宋_GB2312" w:hAnsi="Times New Roman"/>
          <w:kern w:val="0"/>
          <w:sz w:val="32"/>
        </w:rPr>
        <w:t>PM</w:t>
      </w:r>
      <w:r w:rsidRPr="00DE776C">
        <w:rPr>
          <w:rFonts w:ascii="Times New Roman" w:eastAsia="仿宋_GB2312" w:hAnsi="Times New Roman"/>
          <w:kern w:val="0"/>
          <w:sz w:val="32"/>
          <w:vertAlign w:val="subscript"/>
        </w:rPr>
        <w:t>2.5</w:t>
      </w:r>
      <w:r w:rsidRPr="00DE776C">
        <w:rPr>
          <w:rFonts w:ascii="Times New Roman" w:eastAsia="仿宋_GB2312" w:hAnsi="Times New Roman"/>
          <w:kern w:val="0"/>
          <w:sz w:val="32"/>
        </w:rPr>
        <w:t>来源解析结果确定。</w:t>
      </w:r>
    </w:p>
    <w:p w:rsidR="004D37CF" w:rsidRPr="00DE776C" w:rsidRDefault="004D37CF" w:rsidP="004D37CF">
      <w:pPr>
        <w:spacing w:line="576" w:lineRule="exact"/>
        <w:ind w:firstLineChars="200" w:firstLine="640"/>
        <w:outlineLvl w:val="3"/>
        <w:rPr>
          <w:rFonts w:ascii="Times New Roman" w:eastAsia="黑体" w:hAnsi="Times New Roman"/>
          <w:kern w:val="0"/>
          <w:sz w:val="32"/>
        </w:rPr>
      </w:pPr>
      <w:r w:rsidRPr="00DE776C">
        <w:rPr>
          <w:rFonts w:ascii="Times New Roman" w:eastAsia="黑体" w:hAnsi="Times New Roman"/>
          <w:kern w:val="0"/>
          <w:sz w:val="32"/>
        </w:rPr>
        <w:t>四、主要减排路径</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SO</w:t>
      </w:r>
      <w:r w:rsidRPr="00DE776C">
        <w:rPr>
          <w:rFonts w:ascii="Times New Roman" w:eastAsia="仿宋_GB2312" w:hAnsi="Times New Roman"/>
          <w:kern w:val="0"/>
          <w:sz w:val="32"/>
          <w:vertAlign w:val="subscript"/>
        </w:rPr>
        <w:t>2</w:t>
      </w:r>
      <w:r w:rsidRPr="00DE776C">
        <w:rPr>
          <w:rFonts w:ascii="Times New Roman" w:eastAsia="仿宋_GB2312" w:hAnsi="Times New Roman"/>
          <w:kern w:val="0"/>
          <w:sz w:val="32"/>
        </w:rPr>
        <w:t>、</w:t>
      </w:r>
      <w:r w:rsidRPr="00DE776C">
        <w:rPr>
          <w:rFonts w:ascii="Times New Roman" w:eastAsia="仿宋_GB2312" w:hAnsi="Times New Roman"/>
          <w:kern w:val="0"/>
          <w:sz w:val="32"/>
        </w:rPr>
        <w:t>NOx</w:t>
      </w:r>
      <w:r w:rsidRPr="00DE776C">
        <w:rPr>
          <w:rFonts w:ascii="Times New Roman" w:eastAsia="仿宋_GB2312" w:hAnsi="Times New Roman"/>
          <w:kern w:val="0"/>
          <w:sz w:val="32"/>
        </w:rPr>
        <w:t>、</w:t>
      </w:r>
      <w:r w:rsidRPr="00DE776C">
        <w:rPr>
          <w:rFonts w:ascii="Times New Roman" w:eastAsia="仿宋_GB2312" w:hAnsi="Times New Roman"/>
          <w:kern w:val="0"/>
          <w:sz w:val="32"/>
        </w:rPr>
        <w:t>PM</w:t>
      </w:r>
      <w:r w:rsidRPr="00DE776C">
        <w:rPr>
          <w:rFonts w:ascii="Times New Roman" w:eastAsia="仿宋_GB2312" w:hAnsi="Times New Roman"/>
          <w:kern w:val="0"/>
          <w:sz w:val="32"/>
        </w:rPr>
        <w:t>减排可通过严格控制钢铁、平板玻璃、</w:t>
      </w:r>
      <w:r w:rsidRPr="00DE776C">
        <w:rPr>
          <w:rFonts w:ascii="Times New Roman" w:eastAsia="仿宋_GB2312" w:hAnsi="Times New Roman"/>
          <w:kern w:val="0"/>
          <w:sz w:val="32"/>
        </w:rPr>
        <w:lastRenderedPageBreak/>
        <w:t>有色、水泥、燃煤电厂、燃煤锅炉、工业窑炉等工业源排放，限制重型载货车和工程机械使用等措施实现。扬尘颗粒物减排可通过停止施工工地土石方作业，禁止建筑垃圾、渣土、砂石运输车辆行驶，增加主要道路保洁频次等措施实现。</w:t>
      </w:r>
      <w:r w:rsidRPr="00DE776C">
        <w:rPr>
          <w:rFonts w:ascii="Times New Roman" w:eastAsia="仿宋_GB2312" w:hAnsi="Times New Roman"/>
          <w:kern w:val="0"/>
          <w:sz w:val="32"/>
        </w:rPr>
        <w:t>VOCs</w:t>
      </w:r>
      <w:r w:rsidRPr="00DE776C">
        <w:rPr>
          <w:rFonts w:ascii="Times New Roman" w:eastAsia="仿宋_GB2312" w:hAnsi="Times New Roman"/>
          <w:kern w:val="0"/>
          <w:sz w:val="32"/>
        </w:rPr>
        <w:t>减排主要通过严格控制化工、工业涂装、印刷等行业</w:t>
      </w:r>
      <w:r w:rsidRPr="00DE776C">
        <w:rPr>
          <w:rFonts w:ascii="Times New Roman" w:eastAsia="仿宋_GB2312" w:hAnsi="Times New Roman"/>
          <w:kern w:val="0"/>
          <w:sz w:val="32"/>
        </w:rPr>
        <w:t>VOCs</w:t>
      </w:r>
      <w:r w:rsidRPr="00DE776C">
        <w:rPr>
          <w:rFonts w:ascii="Times New Roman" w:eastAsia="仿宋_GB2312" w:hAnsi="Times New Roman"/>
          <w:kern w:val="0"/>
          <w:sz w:val="32"/>
        </w:rPr>
        <w:t>排放，停止建筑工地喷涂粉刷等使用有机溶剂的作业等措施实现。</w:t>
      </w:r>
    </w:p>
    <w:p w:rsidR="004D37CF" w:rsidRPr="00DE776C" w:rsidRDefault="004D37CF" w:rsidP="004D37CF">
      <w:pPr>
        <w:spacing w:line="576" w:lineRule="exact"/>
        <w:ind w:firstLineChars="200" w:firstLine="640"/>
        <w:rPr>
          <w:rFonts w:ascii="Times New Roman" w:eastAsia="楷体_GB2312" w:hAnsi="Times New Roman"/>
          <w:kern w:val="0"/>
          <w:sz w:val="32"/>
        </w:rPr>
      </w:pPr>
      <w:r w:rsidRPr="00DE776C">
        <w:rPr>
          <w:rFonts w:ascii="Times New Roman" w:eastAsia="楷体_GB2312" w:hAnsi="Times New Roman"/>
          <w:kern w:val="0"/>
          <w:sz w:val="32"/>
        </w:rPr>
        <w:t>（一）工业源减排措施</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工业源主要通过停产或停部分生产线的限产方式实现减排，优先采取行业内不同企业轮流停产、企业内生产线轮换停产等方式实现。石化、玻璃等因生产工艺无法快速实现停限产的行业，可采取减少装卸和运输量等措施实现减排，并在执行现有污染物排放标准基础上，参照各预警级别的污染物减排比例，采取加严排放限值、限定产量或投料量的方式实现污染物减排，通过在线监控实施监管。鼓励优先选择对高污染燃料使用企业采取停产、限产措施。不应将长期停产企业纳入应急减排范畴。</w:t>
      </w:r>
    </w:p>
    <w:p w:rsidR="004D37CF" w:rsidRPr="00DE776C" w:rsidRDefault="004D37CF" w:rsidP="004D37CF">
      <w:pPr>
        <w:spacing w:line="576" w:lineRule="exact"/>
        <w:ind w:firstLineChars="200" w:firstLine="640"/>
        <w:rPr>
          <w:rFonts w:ascii="Times New Roman" w:eastAsia="楷体_GB2312" w:hAnsi="Times New Roman"/>
          <w:kern w:val="0"/>
          <w:sz w:val="32"/>
        </w:rPr>
      </w:pPr>
      <w:r w:rsidRPr="00DE776C">
        <w:rPr>
          <w:rFonts w:ascii="Times New Roman" w:eastAsia="楷体_GB2312" w:hAnsi="Times New Roman"/>
          <w:kern w:val="0"/>
          <w:sz w:val="32"/>
        </w:rPr>
        <w:t>（二）移动源减排措施</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移动源减排主要通过采取限制高排放车辆、非道路移动机械使用、实施过境重型载货车绕行疏导等措施实现。高排放车辆限行范围不应局限在主城区和建成区；涉及大宗原材料及产品运输的重点用车企业，应制定错峰运输方案，从源头管控高排放车辆。重污染天气橙色、红色预警时，可采取特定区域禁行柴油车辆的措施。引导公众重污染期间减少出</w:t>
      </w:r>
      <w:r w:rsidRPr="00DE776C">
        <w:rPr>
          <w:rFonts w:ascii="Times New Roman" w:eastAsia="仿宋_GB2312" w:hAnsi="Times New Roman"/>
          <w:kern w:val="0"/>
          <w:sz w:val="32"/>
        </w:rPr>
        <w:lastRenderedPageBreak/>
        <w:t>行和公共交通出行。</w:t>
      </w:r>
    </w:p>
    <w:p w:rsidR="004D37CF" w:rsidRPr="00DE776C" w:rsidRDefault="004D37CF" w:rsidP="004D37CF">
      <w:pPr>
        <w:spacing w:line="576" w:lineRule="exact"/>
        <w:ind w:firstLineChars="200" w:firstLine="640"/>
        <w:rPr>
          <w:rFonts w:ascii="Times New Roman" w:eastAsia="楷体_GB2312" w:hAnsi="Times New Roman"/>
          <w:kern w:val="0"/>
          <w:sz w:val="32"/>
        </w:rPr>
      </w:pPr>
      <w:r w:rsidRPr="00DE776C">
        <w:rPr>
          <w:rFonts w:ascii="Times New Roman" w:eastAsia="楷体_GB2312" w:hAnsi="Times New Roman"/>
          <w:kern w:val="0"/>
          <w:sz w:val="32"/>
        </w:rPr>
        <w:t>（三）扬尘源及其他面源减排措施</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扬尘源减排主要通过控制施工扬尘和道路扬尘实现。施工扬尘控制应采取禁止混凝土搅拌、建筑拆除、渣土车运输、土石方作业等措施。道路扬尘控制应采取适当增加主干道路和易产生扬尘路段的机扫和洒水频次等措施。其他面源主要通过降低装修喷涂和建筑粉刷，严格控制取暖散煤等实现。对塔吊作业或地下施工等不宜采取停工措施；对于禁止露天焚烧和露天烧烤等日常措施，不应纳入应急减排措施。</w:t>
      </w:r>
    </w:p>
    <w:p w:rsidR="004D37CF" w:rsidRPr="00DE776C" w:rsidRDefault="004D37CF" w:rsidP="004D37CF">
      <w:pPr>
        <w:spacing w:line="576" w:lineRule="exact"/>
        <w:ind w:firstLineChars="200" w:firstLine="640"/>
        <w:rPr>
          <w:rFonts w:ascii="Times New Roman" w:eastAsia="楷体_GB2312" w:hAnsi="Times New Roman"/>
          <w:kern w:val="0"/>
          <w:sz w:val="32"/>
        </w:rPr>
      </w:pPr>
      <w:r w:rsidRPr="00DE776C">
        <w:rPr>
          <w:rFonts w:ascii="Times New Roman" w:eastAsia="楷体_GB2312" w:hAnsi="Times New Roman"/>
          <w:kern w:val="0"/>
          <w:sz w:val="32"/>
        </w:rPr>
        <w:t>（四）其他源减排措施</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针对其他大气污染源，如生物质燃烧源、农业源等，各区（县）、开发区根据实际情况逐步开展其排放清单的调查和编制工作，进而采取相应的减排措施。</w:t>
      </w:r>
    </w:p>
    <w:p w:rsidR="004D37CF" w:rsidRPr="00DE776C" w:rsidRDefault="004D37CF" w:rsidP="004D37CF">
      <w:pPr>
        <w:spacing w:line="576" w:lineRule="exact"/>
        <w:ind w:firstLineChars="200" w:firstLine="640"/>
        <w:rPr>
          <w:rFonts w:ascii="Times New Roman" w:eastAsia="楷体_GB2312" w:hAnsi="Times New Roman"/>
          <w:kern w:val="0"/>
          <w:sz w:val="32"/>
        </w:rPr>
      </w:pPr>
      <w:r w:rsidRPr="00DE776C">
        <w:rPr>
          <w:rFonts w:ascii="Times New Roman" w:eastAsia="楷体_GB2312" w:hAnsi="Times New Roman"/>
          <w:kern w:val="0"/>
          <w:sz w:val="32"/>
        </w:rPr>
        <w:t>（五）应急减排措施编制</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以我市污染源解析和污染源排放清单为基础选取应急管控重点对象，优先管控污染排放较大的行业；行业内企业应根据污染物排放绩效水平排序并分类管控；企业应优先选取污染物排放量较大且能够快速安全减排的工艺环节；优先对城市建成区内的高污染企业、使用高污染燃料的企业等采取停产、限产措施。移动源管控措施重点聚焦污染物排放量大的重型载货车和非道路移动机械。应急减排措施应有效减少企业生产活动过程（包括物料运输、生产、成品运输等环节）的污染物排放，鼓励产能严重过剩的行业在采暖季实施错峰生产，一般产能过剩的行业以月或两月为单位实施轮流</w:t>
      </w:r>
      <w:r w:rsidRPr="00DE776C">
        <w:rPr>
          <w:rFonts w:ascii="Times New Roman" w:eastAsia="仿宋_GB2312" w:hAnsi="Times New Roman"/>
          <w:kern w:val="0"/>
          <w:sz w:val="32"/>
        </w:rPr>
        <w:lastRenderedPageBreak/>
        <w:t>错峰生产，减少对生产活动的扰动频次。各区（县）、开发区根据当地产业结构调整情况，每年定期开展应急减排措施修订工作。</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1</w:t>
      </w:r>
      <w:r w:rsidRPr="00DE776C">
        <w:rPr>
          <w:rFonts w:ascii="Times New Roman" w:eastAsia="仿宋_GB2312" w:hAnsi="Times New Roman"/>
          <w:kern w:val="0"/>
          <w:sz w:val="32"/>
        </w:rPr>
        <w:t>．应急减排项目清单编制要求</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应急减排项目清单应做到涉气污染源全覆盖，长期停产企业应在清单中明确。由市级行业主管部门，组织相关企业填报最近一年工业源、移动源、扬尘源项目清单。工业源项目清单需要填报企业具体工艺环节、污染物排放量以及不同预警级别下采取的应急措施和减排量，禁止将虚假企业纳入清单。移动源项目清单要包括过境车辆在内的不同车辆类型、不同排放标准的机动车保有量信息和管控措施。扬尘源项目清单要包括当年施工工地、道路扬尘、堆场扬尘等信息，有条件的区（县）、开发区应估算减排量。根据大气污染源变化情况，定期完善和更新应急减排项目清单。</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2</w:t>
      </w:r>
      <w:r w:rsidRPr="00DE776C">
        <w:rPr>
          <w:rFonts w:ascii="Times New Roman" w:eastAsia="仿宋_GB2312" w:hAnsi="Times New Roman"/>
          <w:kern w:val="0"/>
          <w:sz w:val="32"/>
        </w:rPr>
        <w:t>．成员单位实施方案编制要求</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各成员单位参照本预案，结合实际情况，按照《西安市应急预案管理办法》等相关文件的具体要求，组织制定各自重污染天气应急实施方案。建立实施方案评估修订机制，每年对实施方案有效性和可操作性进行评估。</w:t>
      </w:r>
    </w:p>
    <w:p w:rsidR="004D37CF" w:rsidRPr="00DE776C" w:rsidRDefault="004D37CF" w:rsidP="004D37CF">
      <w:pPr>
        <w:spacing w:line="576" w:lineRule="exact"/>
        <w:ind w:firstLineChars="200" w:firstLine="640"/>
        <w:rPr>
          <w:rFonts w:ascii="Times New Roman" w:eastAsia="仿宋_GB2312" w:hAnsi="Times New Roman"/>
          <w:kern w:val="0"/>
          <w:sz w:val="32"/>
        </w:rPr>
      </w:pPr>
      <w:r w:rsidRPr="00DE776C">
        <w:rPr>
          <w:rFonts w:ascii="Times New Roman" w:eastAsia="仿宋_GB2312" w:hAnsi="Times New Roman"/>
          <w:kern w:val="0"/>
          <w:sz w:val="32"/>
        </w:rPr>
        <w:t>3</w:t>
      </w:r>
      <w:r w:rsidRPr="00DE776C">
        <w:rPr>
          <w:rFonts w:ascii="Times New Roman" w:eastAsia="仿宋_GB2312" w:hAnsi="Times New Roman"/>
          <w:kern w:val="0"/>
          <w:sz w:val="32"/>
        </w:rPr>
        <w:t>．企业应急操作方案编制要求</w:t>
      </w:r>
    </w:p>
    <w:p w:rsidR="004D37CF" w:rsidRPr="00DE776C" w:rsidRDefault="004D37CF" w:rsidP="004D37CF">
      <w:pPr>
        <w:spacing w:line="576" w:lineRule="exact"/>
        <w:ind w:firstLineChars="200" w:firstLine="640"/>
        <w:rPr>
          <w:rFonts w:ascii="Times New Roman" w:eastAsia="黑体" w:hAnsi="Times New Roman"/>
          <w:spacing w:val="-14"/>
        </w:rPr>
      </w:pPr>
      <w:r w:rsidRPr="00DE776C">
        <w:rPr>
          <w:rFonts w:ascii="Times New Roman" w:eastAsia="仿宋_GB2312" w:hAnsi="Times New Roman"/>
          <w:kern w:val="0"/>
          <w:sz w:val="32"/>
        </w:rPr>
        <w:t>企事业单位按照可操作、可量化、可考核原则制定本单位的重污染天气应急操作方案，参考应急减排项目清单和重污染天气应急减排措施中对工业污染源的具体要求进行，避免采取</w:t>
      </w:r>
      <w:r w:rsidRPr="00DE776C">
        <w:rPr>
          <w:rFonts w:ascii="Times New Roman" w:eastAsia="仿宋_GB2312" w:hAnsi="Times New Roman"/>
          <w:kern w:val="0"/>
          <w:sz w:val="32"/>
        </w:rPr>
        <w:t>“</w:t>
      </w:r>
      <w:r w:rsidRPr="00DE776C">
        <w:rPr>
          <w:rFonts w:ascii="Times New Roman" w:eastAsia="仿宋_GB2312" w:hAnsi="Times New Roman"/>
          <w:kern w:val="0"/>
          <w:sz w:val="32"/>
        </w:rPr>
        <w:t>一刀切</w:t>
      </w:r>
      <w:r w:rsidRPr="00DE776C">
        <w:rPr>
          <w:rFonts w:ascii="Times New Roman" w:eastAsia="仿宋_GB2312" w:hAnsi="Times New Roman"/>
          <w:kern w:val="0"/>
          <w:sz w:val="32"/>
        </w:rPr>
        <w:t>”</w:t>
      </w:r>
      <w:r w:rsidRPr="00DE776C">
        <w:rPr>
          <w:rFonts w:ascii="Times New Roman" w:eastAsia="仿宋_GB2312" w:hAnsi="Times New Roman"/>
          <w:kern w:val="0"/>
          <w:sz w:val="32"/>
        </w:rPr>
        <w:t>的应急减排方式，明确管理实施流程，做到</w:t>
      </w:r>
      <w:r w:rsidRPr="00DE776C">
        <w:rPr>
          <w:rFonts w:ascii="Times New Roman" w:eastAsia="仿宋_GB2312" w:hAnsi="Times New Roman"/>
          <w:kern w:val="0"/>
          <w:sz w:val="32"/>
        </w:rPr>
        <w:lastRenderedPageBreak/>
        <w:t>“</w:t>
      </w:r>
      <w:r w:rsidRPr="00DE776C">
        <w:rPr>
          <w:rFonts w:ascii="Times New Roman" w:eastAsia="仿宋_GB2312" w:hAnsi="Times New Roman"/>
          <w:kern w:val="0"/>
          <w:sz w:val="32"/>
        </w:rPr>
        <w:t>一厂一策</w:t>
      </w:r>
      <w:r w:rsidRPr="00DE776C">
        <w:rPr>
          <w:rFonts w:ascii="Times New Roman" w:eastAsia="仿宋_GB2312" w:hAnsi="Times New Roman"/>
          <w:kern w:val="0"/>
          <w:sz w:val="32"/>
        </w:rPr>
        <w:t>”</w:t>
      </w:r>
      <w:r w:rsidRPr="00DE776C">
        <w:rPr>
          <w:rFonts w:ascii="Times New Roman" w:eastAsia="仿宋_GB2312" w:hAnsi="Times New Roman"/>
          <w:kern w:val="0"/>
          <w:sz w:val="32"/>
        </w:rPr>
        <w:t>。方案要包含企业基本情况、主要生产工艺流程、主要涉气产污环节及污染物排放情况，并载明不同预警等级下的应急减排措施，明确具体的停产生产线及工艺环节，同时给出各类减排措施的关键性指标（如天然气用量、用电量等）。对于采取提高治污效率降低污染物排放的企业或工艺环节，要载明执行的污染物排放标准以及不同预警级别下的排放限值。持排污许可证的企业在排污许可证中明确上述要求。</w:t>
      </w:r>
    </w:p>
    <w:p w:rsidR="004D37CF" w:rsidRPr="00DE776C" w:rsidRDefault="004D37CF" w:rsidP="004D37CF">
      <w:pPr>
        <w:rPr>
          <w:rFonts w:ascii="Times New Roman" w:eastAsia="仿宋_GB2312" w:hAnsi="Times New Roman"/>
          <w:spacing w:val="-14"/>
          <w:sz w:val="32"/>
        </w:rPr>
      </w:pPr>
    </w:p>
    <w:p w:rsidR="002F4FBA" w:rsidRPr="004D37CF" w:rsidRDefault="002F4FBA" w:rsidP="004D37CF">
      <w:pPr>
        <w:rPr>
          <w:szCs w:val="32"/>
        </w:rPr>
      </w:pPr>
    </w:p>
    <w:sectPr w:rsidR="002F4FBA" w:rsidRPr="004D37CF" w:rsidSect="004D37CF">
      <w:headerReference w:type="default" r:id="rId7"/>
      <w:footerReference w:type="even" r:id="rId8"/>
      <w:footerReference w:type="default" r:id="rId9"/>
      <w:footerReference w:type="firs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05D3" w:rsidRDefault="008E05D3" w:rsidP="002D743C">
      <w:r>
        <w:separator/>
      </w:r>
    </w:p>
  </w:endnote>
  <w:endnote w:type="continuationSeparator" w:id="1">
    <w:p w:rsidR="008E05D3" w:rsidRDefault="008E05D3" w:rsidP="002D74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微软雅黑"/>
    <w:charset w:val="86"/>
    <w:family w:val="auto"/>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汉仪仿宋简">
    <w:altName w:val="宋体"/>
    <w:charset w:val="86"/>
    <w:family w:val="auto"/>
    <w:pitch w:val="default"/>
    <w:sig w:usb0="00000000" w:usb1="00000000" w:usb2="00000012"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Pr>
        <w:rFonts w:ascii="宋体" w:hAnsi="宋体"/>
        <w:kern w:val="0"/>
        <w:sz w:val="28"/>
        <w:szCs w:val="28"/>
      </w:rPr>
      <w:t xml:space="preserve"> </w:t>
    </w:r>
    <w:r w:rsidRPr="00746371">
      <w:rPr>
        <w:rFonts w:ascii="宋体" w:hAnsi="宋体"/>
        <w:kern w:val="0"/>
        <w:sz w:val="28"/>
        <w:szCs w:val="28"/>
      </w:rPr>
      <w:t xml:space="preserve">- </w:t>
    </w:r>
    <w:r w:rsidR="00F310C9"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F310C9" w:rsidRPr="00746371">
      <w:rPr>
        <w:rFonts w:ascii="宋体" w:hAnsi="宋体"/>
        <w:kern w:val="0"/>
        <w:sz w:val="28"/>
        <w:szCs w:val="28"/>
      </w:rPr>
      <w:fldChar w:fldCharType="separate"/>
    </w:r>
    <w:r>
      <w:rPr>
        <w:rFonts w:ascii="宋体" w:hAnsi="宋体"/>
        <w:noProof/>
        <w:kern w:val="0"/>
        <w:sz w:val="28"/>
        <w:szCs w:val="28"/>
      </w:rPr>
      <w:t>12</w:t>
    </w:r>
    <w:r w:rsidR="00F310C9"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Pr="00973F17" w:rsidRDefault="006B1485" w:rsidP="00014B59">
    <w:pPr>
      <w:pStyle w:val="a4"/>
      <w:ind w:firstLineChars="100" w:firstLine="280"/>
      <w:rPr>
        <w:rFonts w:asciiTheme="majorEastAsia" w:eastAsiaTheme="majorEastAsia" w:hAnsiTheme="majorEastAsia"/>
        <w:sz w:val="28"/>
        <w:szCs w:val="28"/>
      </w:rPr>
    </w:pPr>
    <w:r w:rsidRPr="00973F17">
      <w:rPr>
        <w:rFonts w:asciiTheme="majorEastAsia" w:eastAsiaTheme="majorEastAsia" w:hAnsiTheme="majorEastAsia"/>
        <w:kern w:val="0"/>
        <w:sz w:val="28"/>
        <w:szCs w:val="28"/>
      </w:rPr>
      <w:t xml:space="preserve">- </w:t>
    </w:r>
    <w:r w:rsidR="00F310C9" w:rsidRPr="00973F17">
      <w:rPr>
        <w:rFonts w:asciiTheme="majorEastAsia" w:eastAsiaTheme="majorEastAsia" w:hAnsiTheme="majorEastAsia"/>
        <w:sz w:val="28"/>
        <w:szCs w:val="28"/>
      </w:rPr>
      <w:fldChar w:fldCharType="begin"/>
    </w:r>
    <w:r w:rsidRPr="00973F17">
      <w:rPr>
        <w:rFonts w:asciiTheme="majorEastAsia" w:eastAsiaTheme="majorEastAsia" w:hAnsiTheme="majorEastAsia"/>
        <w:sz w:val="28"/>
        <w:szCs w:val="28"/>
      </w:rPr>
      <w:instrText xml:space="preserve"> PAGE </w:instrText>
    </w:r>
    <w:r w:rsidR="00F310C9" w:rsidRPr="00973F17">
      <w:rPr>
        <w:rFonts w:asciiTheme="majorEastAsia" w:eastAsiaTheme="majorEastAsia" w:hAnsiTheme="majorEastAsia"/>
        <w:sz w:val="28"/>
        <w:szCs w:val="28"/>
      </w:rPr>
      <w:fldChar w:fldCharType="separate"/>
    </w:r>
    <w:r w:rsidR="004D37CF">
      <w:rPr>
        <w:rFonts w:asciiTheme="majorEastAsia" w:eastAsiaTheme="majorEastAsia" w:hAnsiTheme="majorEastAsia"/>
        <w:noProof/>
        <w:sz w:val="28"/>
        <w:szCs w:val="28"/>
      </w:rPr>
      <w:t>6</w:t>
    </w:r>
    <w:r w:rsidR="00F310C9" w:rsidRPr="00973F17">
      <w:rPr>
        <w:rFonts w:asciiTheme="majorEastAsia" w:eastAsiaTheme="majorEastAsia" w:hAnsiTheme="majorEastAsia"/>
        <w:sz w:val="28"/>
        <w:szCs w:val="28"/>
      </w:rPr>
      <w:fldChar w:fldCharType="end"/>
    </w:r>
    <w:r w:rsidRPr="00973F17">
      <w:rPr>
        <w:rFonts w:asciiTheme="majorEastAsia" w:eastAsiaTheme="majorEastAsia" w:hAnsiTheme="majorEastAsia"/>
        <w:kern w:val="0"/>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sidRPr="00746371">
      <w:rPr>
        <w:rFonts w:ascii="宋体" w:hAnsi="宋体"/>
        <w:kern w:val="0"/>
        <w:sz w:val="28"/>
        <w:szCs w:val="28"/>
      </w:rPr>
      <w:t xml:space="preserve">- </w:t>
    </w:r>
    <w:r w:rsidR="00F310C9"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F310C9" w:rsidRPr="00746371">
      <w:rPr>
        <w:rFonts w:ascii="宋体" w:hAnsi="宋体"/>
        <w:kern w:val="0"/>
        <w:sz w:val="28"/>
        <w:szCs w:val="28"/>
      </w:rPr>
      <w:fldChar w:fldCharType="separate"/>
    </w:r>
    <w:r w:rsidR="002C662A">
      <w:rPr>
        <w:rFonts w:ascii="宋体" w:hAnsi="宋体"/>
        <w:noProof/>
        <w:kern w:val="0"/>
        <w:sz w:val="28"/>
        <w:szCs w:val="28"/>
      </w:rPr>
      <w:t>1</w:t>
    </w:r>
    <w:r w:rsidR="00F310C9"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05D3" w:rsidRDefault="008E05D3" w:rsidP="002D743C">
      <w:r>
        <w:separator/>
      </w:r>
    </w:p>
  </w:footnote>
  <w:footnote w:type="continuationSeparator" w:id="1">
    <w:p w:rsidR="008E05D3" w:rsidRDefault="008E05D3" w:rsidP="002D74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298DAA"/>
    <w:multiLevelType w:val="singleLevel"/>
    <w:tmpl w:val="57298DAA"/>
    <w:lvl w:ilvl="0">
      <w:start w:val="2"/>
      <w:numFmt w:val="chineseCounting"/>
      <w:suff w:val="nothing"/>
      <w:lvlText w:val="（%1）"/>
      <w:lvlJc w:val="left"/>
    </w:lvl>
  </w:abstractNum>
  <w:abstractNum w:abstractNumId="1">
    <w:nsid w:val="57299924"/>
    <w:multiLevelType w:val="singleLevel"/>
    <w:tmpl w:val="57299924"/>
    <w:lvl w:ilvl="0">
      <w:start w:val="3"/>
      <w:numFmt w:val="chineseCounting"/>
      <w:suff w:val="nothing"/>
      <w:lvlText w:val="%1、"/>
      <w:lvlJc w:val="left"/>
    </w:lvl>
  </w:abstractNum>
  <w:abstractNum w:abstractNumId="2">
    <w:nsid w:val="57299964"/>
    <w:multiLevelType w:val="singleLevel"/>
    <w:tmpl w:val="57299964"/>
    <w:lvl w:ilvl="0">
      <w:start w:val="2"/>
      <w:numFmt w:val="chineseCounting"/>
      <w:suff w:val="nothing"/>
      <w:lvlText w:val="（%1）"/>
      <w:lvlJc w:val="left"/>
    </w:lvl>
  </w:abstractNum>
  <w:abstractNum w:abstractNumId="3">
    <w:nsid w:val="57299D52"/>
    <w:multiLevelType w:val="singleLevel"/>
    <w:tmpl w:val="57299D52"/>
    <w:lvl w:ilvl="0">
      <w:start w:val="4"/>
      <w:numFmt w:val="chineseCounting"/>
      <w:suff w:val="nothing"/>
      <w:lvlText w:val="%1、"/>
      <w:lvlJc w:val="left"/>
    </w:lvl>
  </w:abstractNum>
  <w:abstractNum w:abstractNumId="4">
    <w:nsid w:val="59991B72"/>
    <w:multiLevelType w:val="hybridMultilevel"/>
    <w:tmpl w:val="F154C438"/>
    <w:lvl w:ilvl="0" w:tplc="E2A675E2">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37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743C"/>
    <w:rsid w:val="0001464A"/>
    <w:rsid w:val="000172D6"/>
    <w:rsid w:val="000356BC"/>
    <w:rsid w:val="00051201"/>
    <w:rsid w:val="0006235A"/>
    <w:rsid w:val="0008155C"/>
    <w:rsid w:val="00085620"/>
    <w:rsid w:val="000B1671"/>
    <w:rsid w:val="000C1A8D"/>
    <w:rsid w:val="000C22E5"/>
    <w:rsid w:val="000E06A5"/>
    <w:rsid w:val="000E5C77"/>
    <w:rsid w:val="000E5DBD"/>
    <w:rsid w:val="000E71AC"/>
    <w:rsid w:val="000F3266"/>
    <w:rsid w:val="00101ABB"/>
    <w:rsid w:val="00115C18"/>
    <w:rsid w:val="001253A8"/>
    <w:rsid w:val="00126132"/>
    <w:rsid w:val="001523FC"/>
    <w:rsid w:val="0015769D"/>
    <w:rsid w:val="00162106"/>
    <w:rsid w:val="00162368"/>
    <w:rsid w:val="00172D39"/>
    <w:rsid w:val="001763B8"/>
    <w:rsid w:val="00184677"/>
    <w:rsid w:val="001B0435"/>
    <w:rsid w:val="001B2D2D"/>
    <w:rsid w:val="001C1AB4"/>
    <w:rsid w:val="001C1E6F"/>
    <w:rsid w:val="001D0D3D"/>
    <w:rsid w:val="001D5FFB"/>
    <w:rsid w:val="001D7682"/>
    <w:rsid w:val="001E45B4"/>
    <w:rsid w:val="001E78A8"/>
    <w:rsid w:val="00205F5E"/>
    <w:rsid w:val="00212256"/>
    <w:rsid w:val="002164DA"/>
    <w:rsid w:val="00230F80"/>
    <w:rsid w:val="002463B0"/>
    <w:rsid w:val="00256705"/>
    <w:rsid w:val="00267EB4"/>
    <w:rsid w:val="00270E0C"/>
    <w:rsid w:val="00271B45"/>
    <w:rsid w:val="00275A35"/>
    <w:rsid w:val="00277B38"/>
    <w:rsid w:val="0029313A"/>
    <w:rsid w:val="002B0866"/>
    <w:rsid w:val="002B5CF2"/>
    <w:rsid w:val="002C662A"/>
    <w:rsid w:val="002D743C"/>
    <w:rsid w:val="002E6943"/>
    <w:rsid w:val="002F442E"/>
    <w:rsid w:val="002F4FBA"/>
    <w:rsid w:val="002F7F89"/>
    <w:rsid w:val="00316064"/>
    <w:rsid w:val="00320235"/>
    <w:rsid w:val="00321AFC"/>
    <w:rsid w:val="0032270C"/>
    <w:rsid w:val="00322899"/>
    <w:rsid w:val="003267E5"/>
    <w:rsid w:val="0032756E"/>
    <w:rsid w:val="00337C10"/>
    <w:rsid w:val="00351925"/>
    <w:rsid w:val="00360AD6"/>
    <w:rsid w:val="00362A4B"/>
    <w:rsid w:val="00367BD9"/>
    <w:rsid w:val="00371028"/>
    <w:rsid w:val="00371982"/>
    <w:rsid w:val="003812F9"/>
    <w:rsid w:val="0038511C"/>
    <w:rsid w:val="00395072"/>
    <w:rsid w:val="0039518F"/>
    <w:rsid w:val="003A2DC2"/>
    <w:rsid w:val="003B6141"/>
    <w:rsid w:val="003D59D7"/>
    <w:rsid w:val="003E49DC"/>
    <w:rsid w:val="003E5B5C"/>
    <w:rsid w:val="003F5931"/>
    <w:rsid w:val="0041479C"/>
    <w:rsid w:val="0041607E"/>
    <w:rsid w:val="004377D1"/>
    <w:rsid w:val="00441E7C"/>
    <w:rsid w:val="004472E1"/>
    <w:rsid w:val="00447D35"/>
    <w:rsid w:val="00453998"/>
    <w:rsid w:val="00456E6A"/>
    <w:rsid w:val="00480E49"/>
    <w:rsid w:val="00484252"/>
    <w:rsid w:val="00491F6F"/>
    <w:rsid w:val="004A7991"/>
    <w:rsid w:val="004C45E2"/>
    <w:rsid w:val="004D37CF"/>
    <w:rsid w:val="004E1D72"/>
    <w:rsid w:val="004E550D"/>
    <w:rsid w:val="004F7DA4"/>
    <w:rsid w:val="0051509C"/>
    <w:rsid w:val="00515AED"/>
    <w:rsid w:val="00521F0A"/>
    <w:rsid w:val="00522106"/>
    <w:rsid w:val="00544BF1"/>
    <w:rsid w:val="0054616D"/>
    <w:rsid w:val="005553CC"/>
    <w:rsid w:val="00563FAE"/>
    <w:rsid w:val="00565241"/>
    <w:rsid w:val="00586F66"/>
    <w:rsid w:val="005942FD"/>
    <w:rsid w:val="005B373F"/>
    <w:rsid w:val="005C45F6"/>
    <w:rsid w:val="005D4E1F"/>
    <w:rsid w:val="005E0726"/>
    <w:rsid w:val="005E078F"/>
    <w:rsid w:val="005F02C0"/>
    <w:rsid w:val="00601AD4"/>
    <w:rsid w:val="00604033"/>
    <w:rsid w:val="00623563"/>
    <w:rsid w:val="00626430"/>
    <w:rsid w:val="00626FB6"/>
    <w:rsid w:val="006300A0"/>
    <w:rsid w:val="006374B0"/>
    <w:rsid w:val="006432A1"/>
    <w:rsid w:val="0064704E"/>
    <w:rsid w:val="0065642B"/>
    <w:rsid w:val="0067240B"/>
    <w:rsid w:val="00673C6E"/>
    <w:rsid w:val="00683A64"/>
    <w:rsid w:val="00683E6B"/>
    <w:rsid w:val="00686A9B"/>
    <w:rsid w:val="00686D9B"/>
    <w:rsid w:val="00687F8A"/>
    <w:rsid w:val="006A22C4"/>
    <w:rsid w:val="006A612E"/>
    <w:rsid w:val="006B1485"/>
    <w:rsid w:val="006B33B0"/>
    <w:rsid w:val="006C5D72"/>
    <w:rsid w:val="006D5EDB"/>
    <w:rsid w:val="006D66CE"/>
    <w:rsid w:val="00705354"/>
    <w:rsid w:val="0071333D"/>
    <w:rsid w:val="00725ACD"/>
    <w:rsid w:val="00746E1E"/>
    <w:rsid w:val="007479D2"/>
    <w:rsid w:val="00754AE5"/>
    <w:rsid w:val="00757BBB"/>
    <w:rsid w:val="0078207F"/>
    <w:rsid w:val="00783BD1"/>
    <w:rsid w:val="0078590D"/>
    <w:rsid w:val="00786386"/>
    <w:rsid w:val="00787FD5"/>
    <w:rsid w:val="007A3FB7"/>
    <w:rsid w:val="007D7111"/>
    <w:rsid w:val="007F10C4"/>
    <w:rsid w:val="007F1EAF"/>
    <w:rsid w:val="007F576E"/>
    <w:rsid w:val="00801C72"/>
    <w:rsid w:val="008106D4"/>
    <w:rsid w:val="0081136D"/>
    <w:rsid w:val="00814A71"/>
    <w:rsid w:val="00814AEC"/>
    <w:rsid w:val="00815B48"/>
    <w:rsid w:val="00821E0A"/>
    <w:rsid w:val="00846D89"/>
    <w:rsid w:val="00875307"/>
    <w:rsid w:val="008828EC"/>
    <w:rsid w:val="00884070"/>
    <w:rsid w:val="00884B06"/>
    <w:rsid w:val="00897865"/>
    <w:rsid w:val="00897B9F"/>
    <w:rsid w:val="008A6515"/>
    <w:rsid w:val="008B6F3E"/>
    <w:rsid w:val="008C2670"/>
    <w:rsid w:val="008D6CE6"/>
    <w:rsid w:val="008E05D3"/>
    <w:rsid w:val="008F79B2"/>
    <w:rsid w:val="00905702"/>
    <w:rsid w:val="00920708"/>
    <w:rsid w:val="00924B54"/>
    <w:rsid w:val="00935C5E"/>
    <w:rsid w:val="00951663"/>
    <w:rsid w:val="00951689"/>
    <w:rsid w:val="00992DD2"/>
    <w:rsid w:val="009B1305"/>
    <w:rsid w:val="009B149C"/>
    <w:rsid w:val="009B4A8E"/>
    <w:rsid w:val="009B71AD"/>
    <w:rsid w:val="009E4564"/>
    <w:rsid w:val="009E4CA4"/>
    <w:rsid w:val="009F42DA"/>
    <w:rsid w:val="00A06BDB"/>
    <w:rsid w:val="00A16E64"/>
    <w:rsid w:val="00A23D2B"/>
    <w:rsid w:val="00A27998"/>
    <w:rsid w:val="00A65760"/>
    <w:rsid w:val="00A73B6F"/>
    <w:rsid w:val="00A924C7"/>
    <w:rsid w:val="00A94DF5"/>
    <w:rsid w:val="00A96CD6"/>
    <w:rsid w:val="00AF437F"/>
    <w:rsid w:val="00AF503C"/>
    <w:rsid w:val="00AF63B4"/>
    <w:rsid w:val="00B12F90"/>
    <w:rsid w:val="00B279E6"/>
    <w:rsid w:val="00B36393"/>
    <w:rsid w:val="00B40498"/>
    <w:rsid w:val="00B4155D"/>
    <w:rsid w:val="00B447B1"/>
    <w:rsid w:val="00B47219"/>
    <w:rsid w:val="00B60FF9"/>
    <w:rsid w:val="00B84A04"/>
    <w:rsid w:val="00B87A74"/>
    <w:rsid w:val="00B958F6"/>
    <w:rsid w:val="00BA5948"/>
    <w:rsid w:val="00BB7DA7"/>
    <w:rsid w:val="00BE2973"/>
    <w:rsid w:val="00BE42D2"/>
    <w:rsid w:val="00BE6D38"/>
    <w:rsid w:val="00BE7906"/>
    <w:rsid w:val="00BF4AB2"/>
    <w:rsid w:val="00C04C41"/>
    <w:rsid w:val="00C0693D"/>
    <w:rsid w:val="00C145F6"/>
    <w:rsid w:val="00C14962"/>
    <w:rsid w:val="00C20B2E"/>
    <w:rsid w:val="00C2377C"/>
    <w:rsid w:val="00C3198E"/>
    <w:rsid w:val="00C52ABD"/>
    <w:rsid w:val="00C55A3A"/>
    <w:rsid w:val="00C61697"/>
    <w:rsid w:val="00C635AA"/>
    <w:rsid w:val="00C63B46"/>
    <w:rsid w:val="00C66EB5"/>
    <w:rsid w:val="00C75C91"/>
    <w:rsid w:val="00C764F7"/>
    <w:rsid w:val="00C8197E"/>
    <w:rsid w:val="00C844C8"/>
    <w:rsid w:val="00C87177"/>
    <w:rsid w:val="00CA5BB9"/>
    <w:rsid w:val="00CA5CA4"/>
    <w:rsid w:val="00CA6129"/>
    <w:rsid w:val="00CA749F"/>
    <w:rsid w:val="00CB15E1"/>
    <w:rsid w:val="00CC14A5"/>
    <w:rsid w:val="00CC6B25"/>
    <w:rsid w:val="00CD5B2A"/>
    <w:rsid w:val="00CE3B9F"/>
    <w:rsid w:val="00CF5E03"/>
    <w:rsid w:val="00D11483"/>
    <w:rsid w:val="00D13DD5"/>
    <w:rsid w:val="00D25FA2"/>
    <w:rsid w:val="00D40A29"/>
    <w:rsid w:val="00D509D5"/>
    <w:rsid w:val="00D566BA"/>
    <w:rsid w:val="00D662CC"/>
    <w:rsid w:val="00D753D1"/>
    <w:rsid w:val="00D81A70"/>
    <w:rsid w:val="00D9510E"/>
    <w:rsid w:val="00DB293E"/>
    <w:rsid w:val="00DB342A"/>
    <w:rsid w:val="00DC1755"/>
    <w:rsid w:val="00DC1E39"/>
    <w:rsid w:val="00DD1B07"/>
    <w:rsid w:val="00DD24BA"/>
    <w:rsid w:val="00DD7944"/>
    <w:rsid w:val="00DE6CB6"/>
    <w:rsid w:val="00E2006A"/>
    <w:rsid w:val="00E33FB1"/>
    <w:rsid w:val="00E42078"/>
    <w:rsid w:val="00E5617B"/>
    <w:rsid w:val="00E56A3E"/>
    <w:rsid w:val="00E70F97"/>
    <w:rsid w:val="00E801A9"/>
    <w:rsid w:val="00E8597D"/>
    <w:rsid w:val="00E86B36"/>
    <w:rsid w:val="00E939F0"/>
    <w:rsid w:val="00E95652"/>
    <w:rsid w:val="00E958C5"/>
    <w:rsid w:val="00EB1694"/>
    <w:rsid w:val="00EB2E6B"/>
    <w:rsid w:val="00ED6BE8"/>
    <w:rsid w:val="00EE4A43"/>
    <w:rsid w:val="00F063D7"/>
    <w:rsid w:val="00F06987"/>
    <w:rsid w:val="00F15F7C"/>
    <w:rsid w:val="00F201C3"/>
    <w:rsid w:val="00F23BC7"/>
    <w:rsid w:val="00F310C9"/>
    <w:rsid w:val="00F34202"/>
    <w:rsid w:val="00F37864"/>
    <w:rsid w:val="00F37B91"/>
    <w:rsid w:val="00F413C2"/>
    <w:rsid w:val="00F5257E"/>
    <w:rsid w:val="00F647D1"/>
    <w:rsid w:val="00F97777"/>
    <w:rsid w:val="00FC1299"/>
    <w:rsid w:val="00FC79FA"/>
    <w:rsid w:val="00FD56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37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43C"/>
    <w:pPr>
      <w:widowControl w:val="0"/>
      <w:jc w:val="both"/>
    </w:pPr>
    <w:rPr>
      <w:rFonts w:ascii="Calibri" w:eastAsia="宋体" w:hAnsi="Calibri" w:cs="Times New Roman"/>
      <w:szCs w:val="24"/>
    </w:rPr>
  </w:style>
  <w:style w:type="paragraph" w:styleId="1">
    <w:name w:val="heading 1"/>
    <w:basedOn w:val="a"/>
    <w:next w:val="a"/>
    <w:link w:val="1Char"/>
    <w:qFormat/>
    <w:rsid w:val="00CD5B2A"/>
    <w:pPr>
      <w:keepNext/>
      <w:keepLines/>
      <w:spacing w:line="576" w:lineRule="auto"/>
      <w:outlineLvl w:val="0"/>
    </w:pPr>
    <w:rPr>
      <w:b/>
      <w:kern w:val="44"/>
      <w:sz w:val="4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D74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2D743C"/>
    <w:rPr>
      <w:sz w:val="18"/>
      <w:szCs w:val="18"/>
    </w:rPr>
  </w:style>
  <w:style w:type="paragraph" w:styleId="a4">
    <w:name w:val="footer"/>
    <w:basedOn w:val="a"/>
    <w:link w:val="Char0"/>
    <w:uiPriority w:val="99"/>
    <w:unhideWhenUsed/>
    <w:rsid w:val="002D743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D743C"/>
    <w:rPr>
      <w:sz w:val="18"/>
      <w:szCs w:val="18"/>
    </w:rPr>
  </w:style>
  <w:style w:type="character" w:customStyle="1" w:styleId="font21">
    <w:name w:val="font21"/>
    <w:basedOn w:val="a0"/>
    <w:uiPriority w:val="99"/>
    <w:rsid w:val="00360AD6"/>
    <w:rPr>
      <w:rFonts w:ascii="宋体" w:eastAsia="宋体" w:hAnsi="宋体" w:cs="宋体"/>
      <w:color w:val="000000"/>
      <w:sz w:val="32"/>
      <w:szCs w:val="32"/>
      <w:u w:val="none"/>
      <w:effect w:val="none"/>
    </w:rPr>
  </w:style>
  <w:style w:type="paragraph" w:styleId="a5">
    <w:name w:val="List Paragraph"/>
    <w:basedOn w:val="a"/>
    <w:qFormat/>
    <w:rsid w:val="00DD7944"/>
    <w:pPr>
      <w:ind w:firstLineChars="200" w:firstLine="420"/>
    </w:pPr>
    <w:rPr>
      <w:rFonts w:ascii="Times New Roman" w:hAnsi="Times New Roman"/>
    </w:rPr>
  </w:style>
  <w:style w:type="character" w:styleId="a6">
    <w:name w:val="page number"/>
    <w:basedOn w:val="a0"/>
    <w:rsid w:val="00757BBB"/>
    <w:rPr>
      <w:rFonts w:cs="Times New Roman"/>
    </w:rPr>
  </w:style>
  <w:style w:type="paragraph" w:styleId="a7">
    <w:name w:val="Date"/>
    <w:basedOn w:val="a"/>
    <w:next w:val="a"/>
    <w:link w:val="Char1"/>
    <w:rsid w:val="00757BBB"/>
    <w:pPr>
      <w:ind w:leftChars="2500" w:left="100"/>
    </w:pPr>
    <w:rPr>
      <w:rFonts w:ascii="Times New Roman" w:eastAsia="方正仿宋简体" w:hAnsi="Times New Roman"/>
      <w:sz w:val="32"/>
      <w:szCs w:val="20"/>
    </w:rPr>
  </w:style>
  <w:style w:type="character" w:customStyle="1" w:styleId="Char1">
    <w:name w:val="日期 Char"/>
    <w:basedOn w:val="a0"/>
    <w:link w:val="a7"/>
    <w:rsid w:val="00757BBB"/>
    <w:rPr>
      <w:rFonts w:ascii="Times New Roman" w:eastAsia="方正仿宋简体" w:hAnsi="Times New Roman" w:cs="Times New Roman"/>
      <w:sz w:val="32"/>
      <w:szCs w:val="20"/>
    </w:rPr>
  </w:style>
  <w:style w:type="table" w:styleId="a8">
    <w:name w:val="Table Grid"/>
    <w:basedOn w:val="a1"/>
    <w:uiPriority w:val="59"/>
    <w:rsid w:val="00757BBB"/>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2"/>
    <w:semiHidden/>
    <w:rsid w:val="00757BBB"/>
    <w:rPr>
      <w:sz w:val="18"/>
      <w:szCs w:val="18"/>
    </w:rPr>
  </w:style>
  <w:style w:type="character" w:customStyle="1" w:styleId="Char2">
    <w:name w:val="批注框文本 Char"/>
    <w:basedOn w:val="a0"/>
    <w:link w:val="a9"/>
    <w:semiHidden/>
    <w:rsid w:val="00757BBB"/>
    <w:rPr>
      <w:rFonts w:ascii="Calibri" w:eastAsia="宋体" w:hAnsi="Calibri" w:cs="Times New Roman"/>
      <w:sz w:val="18"/>
      <w:szCs w:val="18"/>
    </w:rPr>
  </w:style>
  <w:style w:type="paragraph" w:styleId="aa">
    <w:name w:val="Plain Text"/>
    <w:basedOn w:val="a"/>
    <w:link w:val="Char3"/>
    <w:rsid w:val="00757BBB"/>
    <w:rPr>
      <w:rFonts w:ascii="宋体" w:hAnsi="Courier New" w:cs="Courier New"/>
      <w:szCs w:val="21"/>
    </w:rPr>
  </w:style>
  <w:style w:type="character" w:customStyle="1" w:styleId="Char3">
    <w:name w:val="纯文本 Char"/>
    <w:basedOn w:val="a0"/>
    <w:link w:val="aa"/>
    <w:rsid w:val="00757BBB"/>
    <w:rPr>
      <w:rFonts w:ascii="宋体" w:eastAsia="宋体" w:hAnsi="Courier New" w:cs="Courier New"/>
      <w:szCs w:val="21"/>
    </w:rPr>
  </w:style>
  <w:style w:type="paragraph" w:styleId="2">
    <w:name w:val="Body Text Indent 2"/>
    <w:basedOn w:val="a"/>
    <w:link w:val="2Char"/>
    <w:rsid w:val="00BB7DA7"/>
    <w:pPr>
      <w:ind w:firstLineChars="200" w:firstLine="632"/>
    </w:pPr>
    <w:rPr>
      <w:rFonts w:ascii="Times New Roman" w:eastAsia="方正仿宋简体" w:hAnsi="Times New Roman"/>
      <w:sz w:val="32"/>
      <w:szCs w:val="20"/>
    </w:rPr>
  </w:style>
  <w:style w:type="character" w:customStyle="1" w:styleId="2Char">
    <w:name w:val="正文文本缩进 2 Char"/>
    <w:basedOn w:val="a0"/>
    <w:link w:val="2"/>
    <w:rsid w:val="00BB7DA7"/>
    <w:rPr>
      <w:rFonts w:ascii="Times New Roman" w:eastAsia="方正仿宋简体" w:hAnsi="Times New Roman" w:cs="Times New Roman"/>
      <w:sz w:val="32"/>
      <w:szCs w:val="20"/>
    </w:rPr>
  </w:style>
  <w:style w:type="character" w:customStyle="1" w:styleId="14b">
    <w:name w:val="14b"/>
    <w:basedOn w:val="a0"/>
    <w:uiPriority w:val="99"/>
    <w:qFormat/>
    <w:rsid w:val="00A16E64"/>
  </w:style>
  <w:style w:type="character" w:customStyle="1" w:styleId="1Char">
    <w:name w:val="标题 1 Char"/>
    <w:basedOn w:val="a0"/>
    <w:link w:val="1"/>
    <w:rsid w:val="00CD5B2A"/>
    <w:rPr>
      <w:rFonts w:ascii="Calibri" w:eastAsia="宋体" w:hAnsi="Calibri" w:cs="Times New Roman"/>
      <w:b/>
      <w:kern w:val="44"/>
      <w:sz w:val="44"/>
    </w:rPr>
  </w:style>
  <w:style w:type="paragraph" w:customStyle="1" w:styleId="10">
    <w:name w:val="列出段落1"/>
    <w:basedOn w:val="a"/>
    <w:rsid w:val="005F02C0"/>
    <w:pPr>
      <w:ind w:firstLineChars="200" w:firstLine="420"/>
    </w:pPr>
    <w:rPr>
      <w:rFonts w:cs="宋体"/>
      <w:szCs w:val="22"/>
    </w:rPr>
  </w:style>
  <w:style w:type="paragraph" w:customStyle="1" w:styleId="ab">
    <w:name w:val="文件"/>
    <w:basedOn w:val="a"/>
    <w:rsid w:val="001D0D3D"/>
    <w:pPr>
      <w:adjustRightInd w:val="0"/>
      <w:snapToGrid w:val="0"/>
      <w:spacing w:line="336" w:lineRule="auto"/>
      <w:ind w:firstLine="658"/>
    </w:pPr>
    <w:rPr>
      <w:rFonts w:ascii="汉仪仿宋简" w:eastAsia="汉仪仿宋简" w:hAnsi="Times New Roman"/>
      <w:spacing w:val="-3"/>
      <w:sz w:val="32"/>
    </w:rPr>
  </w:style>
</w:styles>
</file>

<file path=word/webSettings.xml><?xml version="1.0" encoding="utf-8"?>
<w:webSettings xmlns:r="http://schemas.openxmlformats.org/officeDocument/2006/relationships" xmlns:w="http://schemas.openxmlformats.org/wordprocessingml/2006/main">
  <w:divs>
    <w:div w:id="4622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7</Pages>
  <Words>494</Words>
  <Characters>2817</Characters>
  <Application>Microsoft Office Word</Application>
  <DocSecurity>0</DocSecurity>
  <Lines>23</Lines>
  <Paragraphs>6</Paragraphs>
  <ScaleCrop>false</ScaleCrop>
  <Company>微软中国</Company>
  <LinksUpToDate>false</LinksUpToDate>
  <CharactersWithSpaces>3305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102</cp:revision>
  <dcterms:created xsi:type="dcterms:W3CDTF">2016-06-06T03:03:00Z</dcterms:created>
  <dcterms:modified xsi:type="dcterms:W3CDTF">2018-11-30T03:50:00Z</dcterms:modified>
</cp:coreProperties>
</file>