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DB2" w:rsidRPr="00E33DDF" w:rsidRDefault="00A25DB2" w:rsidP="00A25DB2">
      <w:pPr>
        <w:spacing w:line="600" w:lineRule="exact"/>
        <w:rPr>
          <w:rFonts w:ascii="黑体" w:eastAsia="黑体" w:hAnsi="黑体" w:hint="eastAsia"/>
        </w:rPr>
      </w:pPr>
      <w:r>
        <w:rPr>
          <w:rFonts w:ascii="黑体" w:eastAsia="黑体" w:hAnsi="黑体" w:hint="eastAsia"/>
        </w:rPr>
        <w:t>附件</w:t>
      </w:r>
    </w:p>
    <w:p w:rsidR="00A25DB2" w:rsidRPr="00F5253F" w:rsidRDefault="00A25DB2" w:rsidP="00A25DB2">
      <w:pPr>
        <w:spacing w:line="600" w:lineRule="exact"/>
        <w:jc w:val="center"/>
        <w:rPr>
          <w:rFonts w:ascii="方正小标宋简体" w:eastAsia="方正小标宋简体" w:hint="eastAsia"/>
        </w:rPr>
      </w:pPr>
      <w:r w:rsidRPr="00F5253F">
        <w:rPr>
          <w:rFonts w:ascii="方正小标宋简体" w:eastAsia="方正小标宋简体" w:hAnsi="黑体" w:hint="eastAsia"/>
          <w:sz w:val="36"/>
          <w:szCs w:val="36"/>
        </w:rPr>
        <w:t>国务院激励支持政策对接落实工作任务分解表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6"/>
        <w:gridCol w:w="6922"/>
        <w:gridCol w:w="3250"/>
        <w:gridCol w:w="3186"/>
      </w:tblGrid>
      <w:tr w:rsidR="00A25DB2" w:rsidRPr="00BC05D9" w:rsidTr="008C2625">
        <w:tc>
          <w:tcPr>
            <w:tcW w:w="817" w:type="dxa"/>
            <w:vAlign w:val="center"/>
          </w:tcPr>
          <w:p w:rsidR="00A25DB2" w:rsidRPr="00BC05D9" w:rsidRDefault="00A25DB2" w:rsidP="008C2625">
            <w:pPr>
              <w:spacing w:line="400" w:lineRule="exact"/>
              <w:jc w:val="center"/>
              <w:rPr>
                <w:rFonts w:ascii="宋体" w:hAnsi="宋体" w:hint="eastAsia"/>
                <w:b/>
                <w:sz w:val="28"/>
                <w:szCs w:val="28"/>
              </w:rPr>
            </w:pPr>
            <w:r w:rsidRPr="00BC05D9">
              <w:rPr>
                <w:rFonts w:ascii="宋体" w:hAnsi="宋体" w:hint="eastAsia"/>
                <w:b/>
                <w:sz w:val="28"/>
                <w:szCs w:val="28"/>
              </w:rPr>
              <w:t>序号</w:t>
            </w:r>
          </w:p>
        </w:tc>
        <w:tc>
          <w:tcPr>
            <w:tcW w:w="6946" w:type="dxa"/>
            <w:vAlign w:val="center"/>
          </w:tcPr>
          <w:p w:rsidR="00A25DB2" w:rsidRPr="00BC05D9" w:rsidRDefault="00A25DB2" w:rsidP="008C2625">
            <w:pPr>
              <w:spacing w:line="400" w:lineRule="exact"/>
              <w:jc w:val="center"/>
              <w:rPr>
                <w:rFonts w:ascii="宋体" w:hAnsi="宋体" w:hint="eastAsia"/>
                <w:b/>
                <w:sz w:val="28"/>
                <w:szCs w:val="28"/>
              </w:rPr>
            </w:pPr>
            <w:r w:rsidRPr="00BC05D9">
              <w:rPr>
                <w:rFonts w:ascii="宋体" w:hAnsi="宋体" w:hint="eastAsia"/>
                <w:b/>
                <w:sz w:val="28"/>
                <w:szCs w:val="28"/>
              </w:rPr>
              <w:t>激励支持政策</w:t>
            </w:r>
          </w:p>
        </w:tc>
        <w:tc>
          <w:tcPr>
            <w:tcW w:w="3260" w:type="dxa"/>
            <w:vAlign w:val="center"/>
          </w:tcPr>
          <w:p w:rsidR="00A25DB2" w:rsidRPr="00BC05D9" w:rsidRDefault="00A25DB2" w:rsidP="008C2625">
            <w:pPr>
              <w:spacing w:line="400" w:lineRule="exact"/>
              <w:jc w:val="center"/>
              <w:rPr>
                <w:rFonts w:ascii="宋体" w:hAnsi="宋体" w:hint="eastAsia"/>
                <w:b/>
                <w:sz w:val="28"/>
                <w:szCs w:val="28"/>
              </w:rPr>
            </w:pPr>
            <w:r w:rsidRPr="00BC05D9">
              <w:rPr>
                <w:rFonts w:ascii="宋体" w:hAnsi="宋体" w:hint="eastAsia"/>
                <w:b/>
                <w:sz w:val="28"/>
                <w:szCs w:val="28"/>
              </w:rPr>
              <w:t>国务院负责制定激励</w:t>
            </w:r>
          </w:p>
          <w:p w:rsidR="00A25DB2" w:rsidRPr="00BC05D9" w:rsidRDefault="00A25DB2" w:rsidP="008C2625">
            <w:pPr>
              <w:spacing w:line="400" w:lineRule="exact"/>
              <w:jc w:val="center"/>
              <w:rPr>
                <w:rFonts w:ascii="宋体" w:hAnsi="宋体" w:hint="eastAsia"/>
                <w:b/>
                <w:sz w:val="28"/>
                <w:szCs w:val="28"/>
              </w:rPr>
            </w:pPr>
            <w:r w:rsidRPr="00BC05D9">
              <w:rPr>
                <w:rFonts w:ascii="宋体" w:hAnsi="宋体" w:hint="eastAsia"/>
                <w:b/>
                <w:sz w:val="28"/>
                <w:szCs w:val="28"/>
              </w:rPr>
              <w:t>措施实施办法的单位</w:t>
            </w:r>
          </w:p>
        </w:tc>
        <w:tc>
          <w:tcPr>
            <w:tcW w:w="3196" w:type="dxa"/>
            <w:vAlign w:val="center"/>
          </w:tcPr>
          <w:p w:rsidR="00A25DB2" w:rsidRPr="00BC05D9" w:rsidRDefault="00A25DB2" w:rsidP="008C2625">
            <w:pPr>
              <w:spacing w:line="400" w:lineRule="exact"/>
              <w:jc w:val="center"/>
              <w:rPr>
                <w:rFonts w:ascii="宋体" w:hAnsi="宋体" w:hint="eastAsia"/>
                <w:b/>
                <w:sz w:val="28"/>
                <w:szCs w:val="28"/>
              </w:rPr>
            </w:pPr>
            <w:r w:rsidRPr="00BC05D9">
              <w:rPr>
                <w:rFonts w:ascii="宋体" w:hAnsi="宋体" w:hint="eastAsia"/>
                <w:b/>
                <w:sz w:val="28"/>
                <w:szCs w:val="28"/>
              </w:rPr>
              <w:t>负责对接的区级部门</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w:t>
            </w:r>
          </w:p>
        </w:tc>
        <w:tc>
          <w:tcPr>
            <w:tcW w:w="6946" w:type="dxa"/>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对深化商事制度改革成效显著、落实事中事后监管等相关政策措施社会反映好的市（地、州、盟）、县（市、区旗），优先纳入深化商事制度改革、加强事中事后监管相关试点，推动降低企业制度性交易成本。</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市场监管总局</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工商临潼分局、质监临潼分局、区食药局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对促进外贸、外资稳定增长，积极优化营商环境成效明显的省（区、市），在外贸转型升级基地培育中给予优先支持。</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E33DDF">
              <w:rPr>
                <w:rFonts w:eastAsia="方正仿宋简体"/>
                <w:sz w:val="28"/>
                <w:szCs w:val="28"/>
              </w:rPr>
              <w:t>商务部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区经贸局</w:t>
            </w:r>
          </w:p>
        </w:tc>
      </w:tr>
      <w:tr w:rsidR="00A25DB2" w:rsidRPr="00BC05D9" w:rsidTr="008C2625">
        <w:trPr>
          <w:trHeight w:val="2384"/>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3</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对促进社会投资健康发展、企业债券发行、债券品种创新与风险防范等工作成效明显的市（地、州、盟），在两年之内对其行政区域内企业申请企业债券实行</w:t>
            </w:r>
            <w:r w:rsidRPr="00BC05D9">
              <w:rPr>
                <w:rFonts w:eastAsia="方正仿宋简体" w:hint="eastAsia"/>
                <w:sz w:val="28"/>
                <w:szCs w:val="28"/>
              </w:rPr>
              <w:t>“直通车”</w:t>
            </w:r>
            <w:r w:rsidRPr="00BC05D9">
              <w:rPr>
                <w:rFonts w:eastAsia="方正仿宋简体"/>
                <w:sz w:val="28"/>
                <w:szCs w:val="28"/>
              </w:rPr>
              <w:t>机制（企业直接向国家发展改革委申报，不需省级发展改革部门转报），鼓励地方加大金融服务实体经济的力度，发挥企业债券促投资、稳增长的积极作用。</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国家发展改革委</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E33DDF">
              <w:rPr>
                <w:rFonts w:eastAsia="方正仿宋简体" w:hint="eastAsia"/>
                <w:sz w:val="28"/>
                <w:szCs w:val="28"/>
              </w:rPr>
              <w:t>区发改委</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4</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对年度固定资产投资保持稳定增长，中央预算内投资项目开工、投资完成等情况较好的省（区、市），在中央预算内投资既有专项中统筹安排部分投资，用于奖励支</w:t>
            </w:r>
            <w:r w:rsidRPr="00BC05D9">
              <w:rPr>
                <w:rFonts w:eastAsia="方正仿宋简体"/>
                <w:sz w:val="28"/>
                <w:szCs w:val="28"/>
              </w:rPr>
              <w:lastRenderedPageBreak/>
              <w:t>持该省（区、市）符合条件的项目。</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lastRenderedPageBreak/>
              <w:t>国家发展改革委</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E33DDF">
              <w:rPr>
                <w:rFonts w:eastAsia="方正仿宋简体" w:hint="eastAsia"/>
                <w:sz w:val="28"/>
                <w:szCs w:val="28"/>
              </w:rPr>
              <w:t>区发改委</w:t>
            </w:r>
          </w:p>
        </w:tc>
      </w:tr>
      <w:tr w:rsidR="00A25DB2" w:rsidRPr="00BC05D9" w:rsidTr="008C2625">
        <w:trPr>
          <w:trHeight w:val="2404"/>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5</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财政预算执行、提高收入质量、盘活财政存量资金、国库库款管理、推进财政资金统筹使用、预算公开等财政管理工作完成情况好的省（区、市），中央财政利用督查收回的财政存量资金、年度预算中单独安排的资金等予以奖励，用于支持省（区、市）推荐的先进典型市（地、州、盟）、县（市区、旗）。</w:t>
            </w:r>
          </w:p>
        </w:tc>
        <w:tc>
          <w:tcPr>
            <w:tcW w:w="3260" w:type="dxa"/>
            <w:vAlign w:val="center"/>
          </w:tcPr>
          <w:p w:rsidR="00A25DB2" w:rsidRPr="00E33DDF" w:rsidRDefault="00A25DB2" w:rsidP="008C2625">
            <w:pPr>
              <w:spacing w:line="360" w:lineRule="exact"/>
              <w:rPr>
                <w:rFonts w:eastAsia="方正仿宋简体" w:hint="eastAsia"/>
                <w:sz w:val="28"/>
                <w:szCs w:val="28"/>
              </w:rPr>
            </w:pPr>
            <w:r w:rsidRPr="00E33DDF">
              <w:rPr>
                <w:rFonts w:eastAsia="方正仿宋简体"/>
                <w:sz w:val="28"/>
                <w:szCs w:val="28"/>
              </w:rPr>
              <w:t>财政部</w:t>
            </w:r>
          </w:p>
        </w:tc>
        <w:tc>
          <w:tcPr>
            <w:tcW w:w="3196" w:type="dxa"/>
            <w:vAlign w:val="center"/>
          </w:tcPr>
          <w:p w:rsidR="00A25DB2" w:rsidRPr="00E33DDF" w:rsidRDefault="00A25DB2" w:rsidP="008C2625">
            <w:pPr>
              <w:spacing w:line="360" w:lineRule="exact"/>
              <w:rPr>
                <w:rFonts w:eastAsia="方正仿宋简体" w:hint="eastAsia"/>
                <w:sz w:val="28"/>
                <w:szCs w:val="28"/>
              </w:rPr>
            </w:pPr>
            <w:r w:rsidRPr="00E33DDF">
              <w:rPr>
                <w:rFonts w:eastAsia="方正仿宋简体" w:hint="eastAsia"/>
                <w:sz w:val="28"/>
                <w:szCs w:val="28"/>
              </w:rPr>
              <w:t>区财政局</w:t>
            </w:r>
          </w:p>
        </w:tc>
      </w:tr>
      <w:tr w:rsidR="00A25DB2" w:rsidRPr="00BC05D9" w:rsidTr="008C2625">
        <w:trPr>
          <w:trHeight w:val="2080"/>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6</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对公路水路交通建设年</w:t>
            </w:r>
            <w:r w:rsidRPr="00BC05D9">
              <w:rPr>
                <w:rFonts w:eastAsia="方正仿宋简体" w:hint="eastAsia"/>
                <w:sz w:val="28"/>
                <w:szCs w:val="28"/>
              </w:rPr>
              <w:t>度</w:t>
            </w:r>
            <w:r w:rsidRPr="00BC05D9">
              <w:rPr>
                <w:rFonts w:eastAsia="方正仿宋简体"/>
                <w:sz w:val="28"/>
                <w:szCs w:val="28"/>
              </w:rPr>
              <w:t>目标任务完成情况好、地方投资落实到位、促进社会资本进入交通建设领域措施有力、交通债务风险防控工作落实有力的省（区、市），将该省（区、市）具备条件的交通建设项目优先列入三年滚动计划，优先安排车辆购置税和港口建设费建设资金。</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交通运输部、财政部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区交通局、区财政局</w:t>
            </w:r>
          </w:p>
        </w:tc>
      </w:tr>
      <w:tr w:rsidR="00A25DB2" w:rsidRPr="00BC05D9" w:rsidTr="008C2625">
        <w:trPr>
          <w:trHeight w:val="1008"/>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7</w:t>
            </w:r>
          </w:p>
        </w:tc>
        <w:tc>
          <w:tcPr>
            <w:tcW w:w="6946" w:type="dxa"/>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对地方水利建设投资落实好、中央水利建设投资计划完成率高的省（区、市），适当增加安排部分中央预算内投资，相应减少所安排项目的地方建设投资。</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水利部、国家发展改革委</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区水务局、区发改委</w:t>
            </w:r>
          </w:p>
        </w:tc>
      </w:tr>
      <w:tr w:rsidR="00A25DB2" w:rsidRPr="00BC05D9" w:rsidTr="008C2625">
        <w:trPr>
          <w:trHeight w:val="2971"/>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8</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防范化解金融风险、营造诚实守信金融生态环境、维护良好金融秩序、健全金融消费者权益保护机制成效较好的省（区、市），支持该省（区、市）或其辖内地区开展金融改革创新先行先试，在同等条件下对其申报金融改革试验区等方面给予重点考虑和支持，在相关领域加大再贷款、再贴现的支持力度，鼓励符合条件的全国性股份制银行在上述地区开设分支机构，支持符合条件的企业发行</w:t>
            </w:r>
            <w:r w:rsidRPr="00BC05D9">
              <w:rPr>
                <w:rFonts w:eastAsia="方正仿宋简体" w:hint="eastAsia"/>
                <w:sz w:val="28"/>
                <w:szCs w:val="28"/>
              </w:rPr>
              <w:t>“双创”</w:t>
            </w:r>
            <w:r w:rsidRPr="00BC05D9">
              <w:rPr>
                <w:rFonts w:eastAsia="方正仿宋简体"/>
                <w:sz w:val="28"/>
                <w:szCs w:val="28"/>
              </w:rPr>
              <w:t>、绿色公司信用类债券等金融创新产品。</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人民银行、银保监会、证监会负责</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区金融办、人行临潼支行</w:t>
            </w:r>
            <w:r>
              <w:rPr>
                <w:rFonts w:eastAsia="方正仿宋简体" w:hint="eastAsia"/>
                <w:sz w:val="28"/>
                <w:szCs w:val="28"/>
              </w:rPr>
              <w:t>、区财政局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9</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对土地节约集约利用成效好、闲置土地少且用地需求量较大的市（地、州、盟）、县（市、区、旗），在全国新增建设用地计划中安排一定指标予以奖励，用于支持稳增长、调结构、惠民生、补短板项目建设。</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自然资源部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国土临潼分局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10</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对按时完成高标准农田建设任务且成效显著的省（区、市），根据高标准农田建设考核结果，在分配年度中央财政资金时予以适当倾斜。</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农业农村</w:t>
            </w:r>
            <w:r w:rsidRPr="00BC05D9">
              <w:rPr>
                <w:rFonts w:eastAsia="方正仿宋简体" w:hint="eastAsia"/>
                <w:sz w:val="28"/>
                <w:szCs w:val="28"/>
              </w:rPr>
              <w:t>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区农林局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11</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对推进农产品流通现代化、积极发展农村电商和产销对接成效明显的市（地、州、盟）、县（市、区、旗），在电子商务进农村综合示范和电商强县建设中予以倾斜。</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商务部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区经贸局</w:t>
            </w:r>
          </w:p>
        </w:tc>
      </w:tr>
      <w:tr w:rsidR="00A25DB2" w:rsidRPr="00BC05D9" w:rsidTr="008C2625">
        <w:trPr>
          <w:trHeight w:val="2739"/>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12</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对实施创新驱动发展战略、推进自主创新和发展高新技术产业成效明显的省（区、市），鼓励开展创新政策先行先试，优先支持其行政区域内</w:t>
            </w:r>
            <w:r w:rsidRPr="00BC05D9">
              <w:rPr>
                <w:rFonts w:eastAsia="方正仿宋简体"/>
                <w:sz w:val="28"/>
                <w:szCs w:val="28"/>
              </w:rPr>
              <w:t>1</w:t>
            </w:r>
            <w:r w:rsidRPr="00BC05D9">
              <w:rPr>
                <w:rFonts w:eastAsia="方正仿宋简体"/>
                <w:sz w:val="28"/>
                <w:szCs w:val="28"/>
              </w:rPr>
              <w:t>家符合条件的国家自主创新示范区或国家高新技术产业开发区扩区或调整区位，优先支持其行政区域内</w:t>
            </w:r>
            <w:r w:rsidRPr="00BC05D9">
              <w:rPr>
                <w:rFonts w:eastAsia="方正仿宋简体"/>
                <w:sz w:val="28"/>
                <w:szCs w:val="28"/>
              </w:rPr>
              <w:t>1</w:t>
            </w:r>
            <w:r w:rsidRPr="00BC05D9">
              <w:rPr>
                <w:rFonts w:eastAsia="方正仿宋简体"/>
                <w:sz w:val="28"/>
                <w:szCs w:val="28"/>
              </w:rPr>
              <w:t>家符合条件且发展基础较好的省级高新技术产业开发区升级为国家高新技术产业开发区。</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科技部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区科技局</w:t>
            </w:r>
          </w:p>
        </w:tc>
      </w:tr>
      <w:tr w:rsidR="00A25DB2" w:rsidRPr="00BC05D9" w:rsidTr="008C2625">
        <w:trPr>
          <w:trHeight w:val="1971"/>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13</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对改善地方</w:t>
            </w:r>
            <w:r w:rsidRPr="00BC05D9">
              <w:rPr>
                <w:rFonts w:eastAsia="方正仿宋简体" w:hint="eastAsia"/>
                <w:sz w:val="28"/>
                <w:szCs w:val="28"/>
              </w:rPr>
              <w:t>科研</w:t>
            </w:r>
            <w:r w:rsidRPr="00BC05D9">
              <w:rPr>
                <w:rFonts w:eastAsia="方正仿宋简体"/>
                <w:sz w:val="28"/>
                <w:szCs w:val="28"/>
              </w:rPr>
              <w:t>基础条件、优化科技创新环境、促进科技成果转移转化以及落实国家科技改革与发展重大政策成效较好的省（区、市），在中央引导地方科技发展专项资金中根据绩效评价结果给予一定倾斜，用于支持其行政区域内科技创新能力建设。</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科技部、财政部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区科技局、区财政局</w:t>
            </w:r>
          </w:p>
        </w:tc>
      </w:tr>
      <w:tr w:rsidR="00A25DB2" w:rsidRPr="00BC05D9" w:rsidTr="008C2625">
        <w:trPr>
          <w:trHeight w:val="3538"/>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14</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对在推动</w:t>
            </w:r>
            <w:r w:rsidRPr="00BC05D9">
              <w:rPr>
                <w:rFonts w:eastAsia="方正仿宋简体" w:hint="eastAsia"/>
                <w:sz w:val="28"/>
                <w:szCs w:val="28"/>
              </w:rPr>
              <w:t>“双创”</w:t>
            </w:r>
            <w:r w:rsidRPr="00BC05D9">
              <w:rPr>
                <w:rFonts w:eastAsia="方正仿宋简体"/>
                <w:sz w:val="28"/>
                <w:szCs w:val="28"/>
              </w:rPr>
              <w:t>政策落地、扶持</w:t>
            </w:r>
            <w:r w:rsidRPr="00BC05D9">
              <w:rPr>
                <w:rFonts w:eastAsia="方正仿宋简体" w:hint="eastAsia"/>
                <w:sz w:val="28"/>
                <w:szCs w:val="28"/>
              </w:rPr>
              <w:t>“双创”</w:t>
            </w:r>
            <w:r w:rsidRPr="00BC05D9">
              <w:rPr>
                <w:rFonts w:eastAsia="方正仿宋简体"/>
                <w:sz w:val="28"/>
                <w:szCs w:val="28"/>
              </w:rPr>
              <w:t>支撑平台、构建</w:t>
            </w:r>
            <w:r w:rsidRPr="00BC05D9">
              <w:rPr>
                <w:rFonts w:eastAsia="方正仿宋简体" w:hint="eastAsia"/>
                <w:sz w:val="28"/>
                <w:szCs w:val="28"/>
              </w:rPr>
              <w:t>“双创”</w:t>
            </w:r>
            <w:r w:rsidRPr="00BC05D9">
              <w:rPr>
                <w:rFonts w:eastAsia="方正仿宋简体"/>
                <w:sz w:val="28"/>
                <w:szCs w:val="28"/>
              </w:rPr>
              <w:t>发展生态、打造</w:t>
            </w:r>
            <w:r w:rsidRPr="00BC05D9">
              <w:rPr>
                <w:rFonts w:eastAsia="方正仿宋简体" w:hint="eastAsia"/>
                <w:sz w:val="28"/>
                <w:szCs w:val="28"/>
              </w:rPr>
              <w:t>“双创”</w:t>
            </w:r>
            <w:r w:rsidRPr="00BC05D9">
              <w:rPr>
                <w:rFonts w:eastAsia="方正仿宋简体"/>
                <w:sz w:val="28"/>
                <w:szCs w:val="28"/>
              </w:rPr>
              <w:t>升级版等方面大胆探索、勇于尝试、成效明显的区域</w:t>
            </w:r>
            <w:r w:rsidRPr="00BC05D9">
              <w:rPr>
                <w:rFonts w:eastAsia="方正仿宋简体" w:hint="eastAsia"/>
                <w:sz w:val="28"/>
                <w:szCs w:val="28"/>
              </w:rPr>
              <w:t>“双创”</w:t>
            </w:r>
            <w:r w:rsidRPr="00BC05D9">
              <w:rPr>
                <w:rFonts w:eastAsia="方正仿宋简体"/>
                <w:sz w:val="28"/>
                <w:szCs w:val="28"/>
              </w:rPr>
              <w:t>示范基地，优先支持培育产业创新中心等创新创业支撑平台，优先支持举办重大创新创业活动，在中央预算内投资安排方面予以重点倾斜，对区域内符合条件的创新创业重大项目，优先推介与国家新兴产业创业投资引导基金、国家中小企业发展基金等对接，鼓励加快发展新经济、培育发展新动能、打造新引擎。</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国家发展改革</w:t>
            </w:r>
            <w:r w:rsidRPr="00BC05D9">
              <w:rPr>
                <w:rFonts w:eastAsia="方正仿宋简体" w:hint="eastAsia"/>
                <w:sz w:val="28"/>
                <w:szCs w:val="28"/>
              </w:rPr>
              <w:t>委</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区发改委</w:t>
            </w:r>
            <w:r>
              <w:rPr>
                <w:rFonts w:eastAsia="方正仿宋简体" w:hint="eastAsia"/>
                <w:sz w:val="28"/>
                <w:szCs w:val="28"/>
              </w:rPr>
              <w:t>、区科技局、区经贸局</w:t>
            </w:r>
          </w:p>
        </w:tc>
      </w:tr>
      <w:tr w:rsidR="00A25DB2" w:rsidRPr="00BC05D9" w:rsidTr="008C2625">
        <w:trPr>
          <w:trHeight w:val="2682"/>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15</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促进工业稳增长和转型升级、实施技术改造成效明显的市（地、州、盟），在新型工业化产业示范基地布局和服务型制造等试点示范方面予以优先支持，并在工业转型升级资金等安排中对符合支持条件的予以倾斜，促进其行政区域内制造业转型升级、企业技术改造和制造业公共服务平台建设。</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工业和信息化部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区经贸局</w:t>
            </w:r>
          </w:p>
        </w:tc>
      </w:tr>
      <w:tr w:rsidR="00A25DB2" w:rsidRPr="00BC05D9" w:rsidTr="008C2625">
        <w:trPr>
          <w:trHeight w:val="2108"/>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16</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大力培育发展战略性新兴产业、产业特色优势明显、技术创新能力较强、产业基础雄厚的市（地、州、盟）优先支持战略性新兴产业集群建设，在重点项目上予以倾斜，鼓励地方开展体制机制创新，形成一批特色鲜明、协同发展的优势产业集群和特色产业链。</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国家发展改革委会同有关部门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区发改委会同有关部门</w:t>
            </w:r>
          </w:p>
        </w:tc>
      </w:tr>
      <w:tr w:rsidR="00A25DB2" w:rsidRPr="00BC05D9" w:rsidTr="008C2625">
        <w:trPr>
          <w:trHeight w:val="1979"/>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17</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老工业基地调整改造力度较大，支持传统产业改造、培育新产业新业态新模式、承接产业转移和产业合作等工作成效突出的市（地、州、盟），安排中央预算内投资给予奖励，并优先支持在重大改革和重大政策方面先行先试，促进产业向高端化、集聚化、智能化升级。</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国家发展改革委会同有关部门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区发改委会同有关部门</w:t>
            </w:r>
          </w:p>
        </w:tc>
      </w:tr>
      <w:tr w:rsidR="00A25DB2" w:rsidRPr="00BC05D9" w:rsidTr="008C2625">
        <w:trPr>
          <w:trHeight w:val="1721"/>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18</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对培育壮大接续替代产业、保障和改善民生、加强生态环境整治、着力解决历史遗留问题等转型成效</w:t>
            </w:r>
            <w:r w:rsidRPr="00BC05D9">
              <w:rPr>
                <w:rFonts w:eastAsia="方正仿宋简体" w:hint="eastAsia"/>
                <w:sz w:val="28"/>
                <w:szCs w:val="28"/>
              </w:rPr>
              <w:t>突出</w:t>
            </w:r>
            <w:r w:rsidRPr="00BC05D9">
              <w:rPr>
                <w:rFonts w:eastAsia="方正仿宋简体"/>
                <w:sz w:val="28"/>
                <w:szCs w:val="28"/>
              </w:rPr>
              <w:t>的资源枯竭城市，中央财政在安排年度补助资金时予以倾斜支持，并优先支持在重大改革和重大政策方面先行先试。</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国家发展改革委、财政部会同有关部门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区发改委、区财政局会同有关部门</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19</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对推进质量工作成效突出的市（地、州、盟）、县（市、区、旗），在质量工作改革创新、国家质量基础设施协同服务及应用示范基地建设、重大质量项目投入、质量技术机构布局建设、中小微企业及</w:t>
            </w:r>
            <w:r w:rsidRPr="00BC05D9">
              <w:rPr>
                <w:rFonts w:eastAsia="方正仿宋简体" w:hint="eastAsia"/>
                <w:sz w:val="28"/>
                <w:szCs w:val="28"/>
              </w:rPr>
              <w:t>“双创”</w:t>
            </w:r>
            <w:r w:rsidRPr="00BC05D9">
              <w:rPr>
                <w:rFonts w:eastAsia="方正仿宋简体"/>
                <w:sz w:val="28"/>
                <w:szCs w:val="28"/>
              </w:rPr>
              <w:t>企业质量技术服务、质量提升工作重点帮扶等方面给予倾斜支持。</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市场监管总局</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工商临潼分局、质监临潼分局、区食药局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20</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校企合作推进力度大、职业教育发展环境好、推进职业教育改草成效明显的省（区、市），优先纳入国家职业教育改革试验区建设，在中国特色高水平高职学校和专业建设、职业教育实训基地建设、现代职业教育质量提升计划等重大项目中予以倾斜支持。</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教育部会同有关部门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区教育局会同有关部门</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21</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对落实鼓励和支持就业创业政策措施工作力度大，促进失业人员、就业困难人员及各类重点群体就业创业等任务完成较好的省（区、市），中央财政给予适当补助。</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财政部、人力资源社会保障部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区财政局、区人社局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22</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对在扶贫开发工作成效考核中认定为完成年度计划、减贫成效显著、综合评价好的省（区、市），在分配中央财政专项扶贫资金时给予一定奖励。</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财政部、国务院扶贫办</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区财政局、区扶贫办</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23</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对易地扶贫搬迁工作积极主动、成效明显的省（区、市），</w:t>
            </w:r>
            <w:r w:rsidRPr="00BC05D9">
              <w:rPr>
                <w:rFonts w:eastAsia="方正仿宋简体"/>
                <w:sz w:val="28"/>
                <w:szCs w:val="28"/>
              </w:rPr>
              <w:lastRenderedPageBreak/>
              <w:t>进一步加大易地扶贫搬迁工作支持力度，并在以工代赈资金安排上予以倾斜，支持贫困地区改善基础设施条件。</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lastRenderedPageBreak/>
              <w:t>国家发展改革委</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区发改委</w:t>
            </w:r>
          </w:p>
        </w:tc>
      </w:tr>
      <w:tr w:rsidR="00A25DB2" w:rsidRPr="00BC05D9" w:rsidTr="008C2625">
        <w:trPr>
          <w:trHeight w:val="1627"/>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24</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对棚户区改造、农村危房改造工作积极主动、成效明显的市（地、州、盟）、县（市、区、旗），在安排中央补助及配套基础建设有关资金时，给予适当奖励或倾斜支持。</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住房城乡建设部、国家发展改革委、财政部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区住建局、区发改委、区财政局</w:t>
            </w:r>
            <w:r>
              <w:rPr>
                <w:rFonts w:eastAsia="方正仿宋简体" w:hint="eastAsia"/>
                <w:sz w:val="28"/>
                <w:szCs w:val="28"/>
              </w:rPr>
              <w:t>、区城改办</w:t>
            </w:r>
          </w:p>
        </w:tc>
      </w:tr>
      <w:tr w:rsidR="00A25DB2" w:rsidRPr="00BC05D9" w:rsidTr="008C2625">
        <w:trPr>
          <w:trHeight w:val="1605"/>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25</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对公立医院</w:t>
            </w:r>
            <w:r w:rsidRPr="00BC05D9">
              <w:rPr>
                <w:rFonts w:eastAsia="方正仿宋简体" w:hint="eastAsia"/>
                <w:sz w:val="28"/>
                <w:szCs w:val="28"/>
              </w:rPr>
              <w:t>综合</w:t>
            </w:r>
            <w:r w:rsidRPr="00BC05D9">
              <w:rPr>
                <w:rFonts w:eastAsia="方正仿宋简体"/>
                <w:sz w:val="28"/>
                <w:szCs w:val="28"/>
              </w:rPr>
              <w:t>改革成效较为明显的市（地、州盟）、县（市、区、旗），公立医院综合改革中央财政补助资金下达相关省（区、市）后，由省（区、市）统筹按一定比例或额度给予奖励。</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国家卫生健康委、财政部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区卫计局、区财政局</w:t>
            </w:r>
          </w:p>
        </w:tc>
      </w:tr>
      <w:tr w:rsidR="00A25DB2" w:rsidRPr="00BC05D9" w:rsidTr="008C2625">
        <w:trPr>
          <w:trHeight w:val="1427"/>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26</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对落实养老服务业支持政策积极主动、养老服务体系建设成效明显的省（区、市），在安排中央补助及有关基础设施建设资金、遴选相关试点项目方面给予倾斜支持。</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国家发展改革委、财政部、民政部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区发改委、区财政局、区民政局</w:t>
            </w:r>
          </w:p>
        </w:tc>
      </w:tr>
      <w:tr w:rsidR="00A25DB2" w:rsidRPr="00BC05D9" w:rsidTr="008C2625">
        <w:trPr>
          <w:trHeight w:val="1613"/>
        </w:trPr>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27</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对环境治理工程项目推进快，重点区域大气、重点流域水环境质量明显改善的市（地、州、盟），中央财政年度污染防治有关专项资金下达相关省（区、市）后，由省（区、市）给予相应奖励。</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生态环境部、财政部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环保临潼分局、区财政局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28</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对河长制湖长制工作推进力度大、河湖管理保护成效明显的省（区、市），在分配年度中央财政资金时予以适</w:t>
            </w:r>
            <w:r w:rsidRPr="00BC05D9">
              <w:rPr>
                <w:rFonts w:eastAsia="方正仿宋简体"/>
                <w:sz w:val="28"/>
                <w:szCs w:val="28"/>
              </w:rPr>
              <w:lastRenderedPageBreak/>
              <w:t>当倾斜。</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lastRenderedPageBreak/>
              <w:t>水利部、财政部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区水务局、区财政局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lastRenderedPageBreak/>
              <w:t>29</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对开展农村人居环境整治成效明显的县（市、区旗），在分配年度中央财政资金时予以适当倾斜。</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农业农村部、财政部</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区农林局、区财政局</w:t>
            </w:r>
          </w:p>
        </w:tc>
      </w:tr>
      <w:tr w:rsidR="00A25DB2" w:rsidRPr="00BC05D9" w:rsidTr="008C2625">
        <w:tc>
          <w:tcPr>
            <w:tcW w:w="817" w:type="dxa"/>
            <w:vAlign w:val="center"/>
          </w:tcPr>
          <w:p w:rsidR="00A25DB2" w:rsidRPr="00BC05D9" w:rsidRDefault="00A25DB2" w:rsidP="008C2625">
            <w:pPr>
              <w:spacing w:line="360" w:lineRule="exact"/>
              <w:jc w:val="center"/>
              <w:rPr>
                <w:rFonts w:eastAsia="方正仿宋简体" w:hint="eastAsia"/>
                <w:sz w:val="28"/>
                <w:szCs w:val="28"/>
              </w:rPr>
            </w:pPr>
            <w:r w:rsidRPr="00BC05D9">
              <w:rPr>
                <w:rFonts w:eastAsia="方正仿宋简体" w:hint="eastAsia"/>
                <w:sz w:val="28"/>
                <w:szCs w:val="28"/>
              </w:rPr>
              <w:t>30</w:t>
            </w:r>
          </w:p>
        </w:tc>
        <w:tc>
          <w:tcPr>
            <w:tcW w:w="694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对落实有关重大政策措施成效明显、创造典型经验做法且受到国务院督查表扬的市（地、州、盟）、县（市、区旗），在下一年度国务院组织的有关实地督查中实行</w:t>
            </w:r>
            <w:r w:rsidRPr="00BC05D9">
              <w:rPr>
                <w:rFonts w:eastAsia="方正仿宋简体" w:hint="eastAsia"/>
                <w:sz w:val="28"/>
                <w:szCs w:val="28"/>
              </w:rPr>
              <w:t>“免督查”。</w:t>
            </w:r>
          </w:p>
        </w:tc>
        <w:tc>
          <w:tcPr>
            <w:tcW w:w="3260"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sz w:val="28"/>
                <w:szCs w:val="28"/>
              </w:rPr>
              <w:t>国务院办公厅</w:t>
            </w:r>
          </w:p>
        </w:tc>
        <w:tc>
          <w:tcPr>
            <w:tcW w:w="3196" w:type="dxa"/>
            <w:vAlign w:val="center"/>
          </w:tcPr>
          <w:p w:rsidR="00A25DB2" w:rsidRPr="00BC05D9" w:rsidRDefault="00A25DB2" w:rsidP="008C2625">
            <w:pPr>
              <w:spacing w:line="360" w:lineRule="exact"/>
              <w:rPr>
                <w:rFonts w:eastAsia="方正仿宋简体" w:hint="eastAsia"/>
                <w:sz w:val="28"/>
                <w:szCs w:val="28"/>
              </w:rPr>
            </w:pPr>
            <w:r w:rsidRPr="00BC05D9">
              <w:rPr>
                <w:rFonts w:eastAsia="方正仿宋简体" w:hint="eastAsia"/>
                <w:sz w:val="28"/>
                <w:szCs w:val="28"/>
              </w:rPr>
              <w:t>区政府办公室</w:t>
            </w:r>
          </w:p>
        </w:tc>
      </w:tr>
    </w:tbl>
    <w:p w:rsidR="00A25DB2" w:rsidRDefault="00A25DB2" w:rsidP="00A25DB2">
      <w:pPr>
        <w:spacing w:line="600" w:lineRule="exact"/>
        <w:rPr>
          <w:rFonts w:eastAsia="方正仿宋简体" w:hint="eastAsia"/>
        </w:rPr>
      </w:pPr>
    </w:p>
    <w:p w:rsidR="00116E4E" w:rsidRPr="00A25DB2" w:rsidRDefault="00116E4E" w:rsidP="00A25DB2"/>
    <w:sectPr w:rsidR="00116E4E" w:rsidRPr="00A25DB2" w:rsidSect="00A25DB2">
      <w:footerReference w:type="even" r:id="rId7"/>
      <w:footerReference w:type="default" r:id="rId8"/>
      <w:footerReference w:type="first" r:id="rId9"/>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3AC3" w:rsidRDefault="009F3AC3" w:rsidP="001F5E93">
      <w:r>
        <w:separator/>
      </w:r>
    </w:p>
  </w:endnote>
  <w:endnote w:type="continuationSeparator" w:id="1">
    <w:p w:rsidR="009F3AC3" w:rsidRDefault="009F3AC3"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4"/>
      <w:ind w:firstLineChars="100" w:firstLine="280"/>
      <w:rPr>
        <w:rFonts w:ascii="宋体" w:eastAsia="宋体" w:hAnsi="宋体"/>
      </w:rPr>
    </w:pPr>
    <w:r w:rsidRPr="003876A0">
      <w:rPr>
        <w:rFonts w:ascii="宋体" w:eastAsia="宋体" w:hAnsi="宋体" w:hint="eastAsia"/>
        <w:sz w:val="28"/>
      </w:rPr>
      <w:t xml:space="preserve">— </w:t>
    </w:r>
    <w:r w:rsidR="00343672"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343672" w:rsidRPr="003876A0">
      <w:rPr>
        <w:rFonts w:ascii="宋体" w:eastAsia="宋体" w:hAnsi="宋体" w:hint="eastAsia"/>
        <w:sz w:val="28"/>
      </w:rPr>
      <w:fldChar w:fldCharType="separate"/>
    </w:r>
    <w:r>
      <w:rPr>
        <w:rFonts w:ascii="宋体" w:eastAsia="宋体" w:hAnsi="宋体"/>
        <w:noProof/>
        <w:sz w:val="28"/>
      </w:rPr>
      <w:t>16</w:t>
    </w:r>
    <w:r w:rsidR="00343672"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4"/>
      <w:ind w:right="140"/>
      <w:jc w:val="right"/>
    </w:pPr>
    <w:r>
      <w:rPr>
        <w:rFonts w:ascii="宋体" w:hint="eastAsia"/>
        <w:sz w:val="28"/>
      </w:rPr>
      <w:t>—</w:t>
    </w:r>
    <w:r>
      <w:rPr>
        <w:rFonts w:ascii="宋体" w:hint="eastAsia"/>
        <w:sz w:val="28"/>
      </w:rPr>
      <w:t xml:space="preserve"> </w:t>
    </w:r>
    <w:r w:rsidR="00343672">
      <w:rPr>
        <w:rFonts w:ascii="宋体" w:hint="eastAsia"/>
        <w:sz w:val="28"/>
      </w:rPr>
      <w:fldChar w:fldCharType="begin"/>
    </w:r>
    <w:r>
      <w:rPr>
        <w:rFonts w:ascii="宋体" w:hint="eastAsia"/>
        <w:sz w:val="28"/>
      </w:rPr>
      <w:instrText xml:space="preserve"> PAGE \* Arabic </w:instrText>
    </w:r>
    <w:r w:rsidR="00343672">
      <w:rPr>
        <w:rFonts w:ascii="宋体" w:hint="eastAsia"/>
        <w:sz w:val="28"/>
      </w:rPr>
      <w:fldChar w:fldCharType="separate"/>
    </w:r>
    <w:r w:rsidR="00A25DB2">
      <w:rPr>
        <w:rFonts w:ascii="宋体"/>
        <w:noProof/>
        <w:sz w:val="28"/>
      </w:rPr>
      <w:t>7</w:t>
    </w:r>
    <w:r w:rsidR="00343672">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4"/>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3AC3" w:rsidRDefault="009F3AC3" w:rsidP="001F5E93">
      <w:r>
        <w:separator/>
      </w:r>
    </w:p>
  </w:footnote>
  <w:footnote w:type="continuationSeparator" w:id="1">
    <w:p w:rsidR="009F3AC3" w:rsidRDefault="009F3AC3"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116E4E"/>
    <w:rsid w:val="001F5E93"/>
    <w:rsid w:val="002E0C56"/>
    <w:rsid w:val="00343672"/>
    <w:rsid w:val="00345C32"/>
    <w:rsid w:val="0044633E"/>
    <w:rsid w:val="0048410C"/>
    <w:rsid w:val="0064014E"/>
    <w:rsid w:val="00761333"/>
    <w:rsid w:val="007D31F7"/>
    <w:rsid w:val="009F3AC3"/>
    <w:rsid w:val="00A25DB2"/>
    <w:rsid w:val="00B62E90"/>
    <w:rsid w:val="00BB1C35"/>
    <w:rsid w:val="00D5366B"/>
    <w:rsid w:val="00E47F6A"/>
    <w:rsid w:val="00F71E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5E93"/>
    <w:rPr>
      <w:sz w:val="18"/>
      <w:szCs w:val="18"/>
    </w:rPr>
  </w:style>
  <w:style w:type="paragraph" w:styleId="a4">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5E93"/>
    <w:rPr>
      <w:sz w:val="18"/>
      <w:szCs w:val="18"/>
    </w:rPr>
  </w:style>
  <w:style w:type="character" w:styleId="a5">
    <w:name w:val="page number"/>
    <w:basedOn w:val="a0"/>
    <w:rsid w:val="001F5E93"/>
  </w:style>
  <w:style w:type="paragraph" w:styleId="a6">
    <w:name w:val="Normal (Web)"/>
    <w:rsid w:val="001F5E93"/>
    <w:pPr>
      <w:widowControl w:val="0"/>
      <w:spacing w:before="100" w:beforeAutospacing="1" w:after="100" w:afterAutospacing="1"/>
    </w:pPr>
    <w:rPr>
      <w:rFonts w:ascii="宋体" w:eastAsia="宋体"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564</Words>
  <Characters>3219</Characters>
  <Application>Microsoft Office Word</Application>
  <DocSecurity>0</DocSecurity>
  <Lines>26</Lines>
  <Paragraphs>7</Paragraphs>
  <ScaleCrop>false</ScaleCrop>
  <Company>微软中国</Company>
  <LinksUpToDate>false</LinksUpToDate>
  <CharactersWithSpaces>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8</cp:revision>
  <dcterms:created xsi:type="dcterms:W3CDTF">2018-12-24T07:20:00Z</dcterms:created>
  <dcterms:modified xsi:type="dcterms:W3CDTF">2018-12-24T08:05:00Z</dcterms:modified>
</cp:coreProperties>
</file>