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64C1" w:rsidRPr="00433E9C" w:rsidRDefault="00DE64C1" w:rsidP="00DE64C1">
      <w:pPr>
        <w:pStyle w:val="a7"/>
        <w:shd w:val="clear" w:color="auto" w:fill="FFFFFF"/>
        <w:spacing w:before="0" w:beforeAutospacing="0" w:after="0" w:afterAutospacing="0" w:line="576" w:lineRule="exact"/>
        <w:jc w:val="both"/>
        <w:rPr>
          <w:rFonts w:ascii="Times New Roman" w:eastAsia="仿宋_GB2312" w:hint="eastAsia"/>
          <w:color w:val="000000"/>
          <w:sz w:val="32"/>
          <w:szCs w:val="32"/>
        </w:rPr>
      </w:pPr>
      <w:r>
        <w:rPr>
          <w:rFonts w:ascii="黑体" w:eastAsia="黑体" w:hAnsi="黑体" w:cs="黑体" w:hint="eastAsia"/>
          <w:color w:val="000000"/>
          <w:sz w:val="32"/>
          <w:szCs w:val="32"/>
        </w:rPr>
        <w:t>附件1</w:t>
      </w:r>
    </w:p>
    <w:p w:rsidR="00DE64C1" w:rsidRPr="0032244F" w:rsidRDefault="00DE64C1" w:rsidP="00DE64C1">
      <w:pPr>
        <w:spacing w:line="600" w:lineRule="exact"/>
        <w:jc w:val="center"/>
        <w:rPr>
          <w:rFonts w:ascii="方正小标宋简体" w:eastAsia="方正小标宋简体" w:hint="eastAsia"/>
          <w:color w:val="000000"/>
          <w:sz w:val="44"/>
          <w:szCs w:val="44"/>
        </w:rPr>
      </w:pPr>
      <w:r w:rsidRPr="0032244F">
        <w:rPr>
          <w:rFonts w:ascii="方正小标宋简体" w:eastAsia="方正小标宋简体" w:hint="eastAsia"/>
          <w:color w:val="000000"/>
          <w:sz w:val="44"/>
          <w:szCs w:val="44"/>
        </w:rPr>
        <w:t>西安市临潼区</w:t>
      </w:r>
      <w:r w:rsidRPr="0032244F">
        <w:rPr>
          <w:rFonts w:eastAsia="方正小标宋简体"/>
          <w:color w:val="000000"/>
          <w:sz w:val="44"/>
          <w:szCs w:val="44"/>
        </w:rPr>
        <w:t>2019</w:t>
      </w:r>
      <w:r w:rsidRPr="0032244F">
        <w:rPr>
          <w:rFonts w:ascii="方正小标宋简体" w:eastAsia="方正小标宋简体" w:hint="eastAsia"/>
          <w:color w:val="000000"/>
          <w:sz w:val="44"/>
          <w:szCs w:val="44"/>
        </w:rPr>
        <w:t>年蓝天保卫战工作任务清单</w:t>
      </w:r>
    </w:p>
    <w:tbl>
      <w:tblPr>
        <w:tblpPr w:leftFromText="180" w:rightFromText="180" w:vertAnchor="text" w:horzAnchor="page" w:tblpX="710" w:tblpY="24"/>
        <w:tblOverlap w:val="neve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000"/>
      </w:tblPr>
      <w:tblGrid>
        <w:gridCol w:w="710"/>
        <w:gridCol w:w="1275"/>
        <w:gridCol w:w="1500"/>
        <w:gridCol w:w="1706"/>
        <w:gridCol w:w="8907"/>
        <w:gridCol w:w="1209"/>
      </w:tblGrid>
      <w:tr w:rsidR="00DE64C1" w:rsidTr="006E4FD6">
        <w:trPr>
          <w:trHeight w:val="567"/>
          <w:tblHeader/>
        </w:trPr>
        <w:tc>
          <w:tcPr>
            <w:tcW w:w="710" w:type="dxa"/>
            <w:noWrap/>
            <w:vAlign w:val="center"/>
          </w:tcPr>
          <w:p w:rsidR="00DE64C1" w:rsidRDefault="00DE64C1" w:rsidP="006E4FD6">
            <w:pPr>
              <w:spacing w:line="250" w:lineRule="exact"/>
              <w:jc w:val="center"/>
              <w:rPr>
                <w:rFonts w:ascii="方正黑体简体" w:eastAsia="方正黑体简体" w:hAnsi="黑体" w:cs="黑体" w:hint="eastAsia"/>
                <w:color w:val="000000"/>
                <w:szCs w:val="21"/>
              </w:rPr>
            </w:pPr>
            <w:r>
              <w:rPr>
                <w:rFonts w:ascii="方正黑体简体" w:eastAsia="方正黑体简体" w:hAnsi="黑体" w:cs="黑体" w:hint="eastAsia"/>
                <w:color w:val="000000"/>
                <w:szCs w:val="21"/>
              </w:rPr>
              <w:t>序号</w:t>
            </w:r>
          </w:p>
        </w:tc>
        <w:tc>
          <w:tcPr>
            <w:tcW w:w="1275" w:type="dxa"/>
            <w:noWrap/>
            <w:vAlign w:val="center"/>
          </w:tcPr>
          <w:p w:rsidR="00DE64C1" w:rsidRDefault="00DE64C1" w:rsidP="006E4FD6">
            <w:pPr>
              <w:spacing w:line="250" w:lineRule="exact"/>
              <w:jc w:val="center"/>
              <w:rPr>
                <w:rFonts w:ascii="方正黑体简体" w:eastAsia="方正黑体简体" w:hAnsi="黑体" w:cs="黑体" w:hint="eastAsia"/>
                <w:color w:val="000000"/>
                <w:szCs w:val="21"/>
              </w:rPr>
            </w:pPr>
            <w:r>
              <w:rPr>
                <w:rFonts w:ascii="方正黑体简体" w:eastAsia="方正黑体简体" w:hAnsi="黑体" w:cs="黑体" w:hint="eastAsia"/>
                <w:color w:val="000000"/>
                <w:szCs w:val="21"/>
              </w:rPr>
              <w:t>主要任务</w:t>
            </w:r>
          </w:p>
        </w:tc>
        <w:tc>
          <w:tcPr>
            <w:tcW w:w="1500" w:type="dxa"/>
            <w:noWrap/>
            <w:vAlign w:val="center"/>
          </w:tcPr>
          <w:p w:rsidR="00DE64C1" w:rsidRDefault="00DE64C1" w:rsidP="006E4FD6">
            <w:pPr>
              <w:spacing w:line="250" w:lineRule="exact"/>
              <w:jc w:val="center"/>
              <w:rPr>
                <w:rFonts w:ascii="方正黑体简体" w:eastAsia="方正黑体简体" w:hAnsi="黑体" w:cs="黑体" w:hint="eastAsia"/>
                <w:color w:val="000000"/>
                <w:szCs w:val="21"/>
              </w:rPr>
            </w:pPr>
            <w:r>
              <w:rPr>
                <w:rFonts w:ascii="方正黑体简体" w:eastAsia="方正黑体简体" w:hAnsi="黑体" w:cs="黑体" w:hint="eastAsia"/>
                <w:color w:val="000000"/>
                <w:szCs w:val="21"/>
              </w:rPr>
              <w:t>牵头部门</w:t>
            </w:r>
          </w:p>
        </w:tc>
        <w:tc>
          <w:tcPr>
            <w:tcW w:w="1706" w:type="dxa"/>
            <w:noWrap/>
            <w:vAlign w:val="center"/>
          </w:tcPr>
          <w:p w:rsidR="00DE64C1" w:rsidRDefault="00DE64C1" w:rsidP="006E4FD6">
            <w:pPr>
              <w:spacing w:line="250" w:lineRule="exact"/>
              <w:jc w:val="center"/>
              <w:rPr>
                <w:rFonts w:ascii="方正黑体简体" w:eastAsia="方正黑体简体" w:hAnsi="黑体" w:cs="黑体" w:hint="eastAsia"/>
                <w:color w:val="000000"/>
                <w:szCs w:val="21"/>
              </w:rPr>
            </w:pPr>
            <w:r>
              <w:rPr>
                <w:rFonts w:ascii="方正黑体简体" w:eastAsia="方正黑体简体" w:hAnsi="黑体" w:cs="黑体" w:hint="eastAsia"/>
                <w:color w:val="000000"/>
                <w:szCs w:val="21"/>
              </w:rPr>
              <w:t>责任单位</w:t>
            </w:r>
          </w:p>
        </w:tc>
        <w:tc>
          <w:tcPr>
            <w:tcW w:w="8907" w:type="dxa"/>
            <w:noWrap/>
            <w:vAlign w:val="center"/>
          </w:tcPr>
          <w:p w:rsidR="00DE64C1" w:rsidRDefault="00DE64C1" w:rsidP="006E4FD6">
            <w:pPr>
              <w:spacing w:line="250" w:lineRule="exact"/>
              <w:jc w:val="center"/>
              <w:rPr>
                <w:rFonts w:ascii="方正黑体简体" w:eastAsia="方正黑体简体" w:hAnsi="黑体" w:cs="黑体" w:hint="eastAsia"/>
                <w:color w:val="000000"/>
                <w:szCs w:val="21"/>
              </w:rPr>
            </w:pPr>
            <w:r>
              <w:rPr>
                <w:rFonts w:ascii="方正黑体简体" w:eastAsia="方正黑体简体" w:hint="eastAsia"/>
                <w:color w:val="000000"/>
                <w:szCs w:val="21"/>
              </w:rPr>
              <w:t>工作措施</w:t>
            </w:r>
          </w:p>
        </w:tc>
        <w:tc>
          <w:tcPr>
            <w:tcW w:w="1209" w:type="dxa"/>
            <w:noWrap/>
            <w:vAlign w:val="center"/>
          </w:tcPr>
          <w:p w:rsidR="00DE64C1" w:rsidRDefault="00DE64C1" w:rsidP="006E4FD6">
            <w:pPr>
              <w:spacing w:line="250" w:lineRule="exact"/>
              <w:jc w:val="center"/>
              <w:rPr>
                <w:rFonts w:ascii="方正黑体简体" w:eastAsia="方正黑体简体" w:hAnsi="黑体" w:cs="黑体" w:hint="eastAsia"/>
                <w:color w:val="000000"/>
                <w:szCs w:val="21"/>
              </w:rPr>
            </w:pPr>
            <w:r>
              <w:rPr>
                <w:rFonts w:ascii="方正黑体简体" w:eastAsia="方正黑体简体" w:hAnsi="黑体" w:cs="黑体" w:hint="eastAsia"/>
                <w:color w:val="000000"/>
                <w:szCs w:val="21"/>
              </w:rPr>
              <w:t>完成时限</w:t>
            </w:r>
          </w:p>
        </w:tc>
      </w:tr>
      <w:tr w:rsidR="00DE64C1" w:rsidTr="006E4FD6">
        <w:trPr>
          <w:trHeight w:val="567"/>
        </w:trPr>
        <w:tc>
          <w:tcPr>
            <w:tcW w:w="5191" w:type="dxa"/>
            <w:gridSpan w:val="4"/>
            <w:noWrap/>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黑体简体" w:eastAsia="方正黑体简体" w:hint="eastAsia"/>
                <w:color w:val="000000"/>
                <w:szCs w:val="21"/>
              </w:rPr>
              <w:t>工作目标</w:t>
            </w:r>
          </w:p>
        </w:tc>
        <w:tc>
          <w:tcPr>
            <w:tcW w:w="10116" w:type="dxa"/>
            <w:gridSpan w:val="2"/>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完成市上下达的空气质量改善各项指标。细颗粒物（PM</w:t>
            </w:r>
            <w:r>
              <w:rPr>
                <w:rFonts w:ascii="方正书宋简体" w:eastAsia="方正书宋简体" w:hAnsi="宋体" w:cs="宋体" w:hint="eastAsia"/>
                <w:color w:val="000000"/>
                <w:szCs w:val="21"/>
                <w:vertAlign w:val="subscript"/>
              </w:rPr>
              <w:t>2.5</w:t>
            </w:r>
            <w:r>
              <w:rPr>
                <w:rFonts w:ascii="方正书宋简体" w:eastAsia="方正书宋简体" w:hAnsi="宋体" w:cs="宋体" w:hint="eastAsia"/>
                <w:color w:val="000000"/>
                <w:szCs w:val="21"/>
              </w:rPr>
              <w:t>）浓度47微克/立方米，颗粒物（PM</w:t>
            </w:r>
            <w:r>
              <w:rPr>
                <w:rFonts w:ascii="方正书宋简体" w:eastAsia="方正书宋简体" w:hAnsi="宋体" w:cs="宋体" w:hint="eastAsia"/>
                <w:color w:val="000000"/>
                <w:szCs w:val="21"/>
                <w:vertAlign w:val="subscript"/>
              </w:rPr>
              <w:t>10</w:t>
            </w:r>
            <w:r>
              <w:rPr>
                <w:rFonts w:ascii="方正书宋简体" w:eastAsia="方正书宋简体" w:hAnsi="宋体" w:cs="宋体" w:hint="eastAsia"/>
                <w:color w:val="000000"/>
                <w:szCs w:val="21"/>
              </w:rPr>
              <w:t>）浓度104微克/立方米，优良天数达到265天。</w:t>
            </w:r>
          </w:p>
        </w:tc>
      </w:tr>
      <w:tr w:rsidR="00DE64C1" w:rsidTr="006E4FD6">
        <w:trPr>
          <w:trHeight w:val="567"/>
        </w:trPr>
        <w:tc>
          <w:tcPr>
            <w:tcW w:w="710" w:type="dxa"/>
            <w:noWrap/>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1</w:t>
            </w:r>
          </w:p>
        </w:tc>
        <w:tc>
          <w:tcPr>
            <w:tcW w:w="1275" w:type="dxa"/>
            <w:noWrap/>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压减煤炭产能</w:t>
            </w:r>
          </w:p>
        </w:tc>
        <w:tc>
          <w:tcPr>
            <w:tcW w:w="1500" w:type="dxa"/>
            <w:noWrap/>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区发改委</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每季度开展辖区煤炭产能排查，建立动态管理清单，按市发改委要求上报排查情况。凡发现存在煤炭生产企业的依法退出或关闭。</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2</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化工园区整治</w:t>
            </w:r>
          </w:p>
        </w:tc>
        <w:tc>
          <w:tcPr>
            <w:tcW w:w="1500"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区科技工信和</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黑体" w:cs="黑体" w:hint="eastAsia"/>
                <w:color w:val="000000"/>
                <w:szCs w:val="21"/>
              </w:rPr>
              <w:t>商务局</w:t>
            </w:r>
          </w:p>
        </w:tc>
        <w:tc>
          <w:tcPr>
            <w:tcW w:w="1706"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对辖区渭北（临潼）现代工业新城、临潼区代新工业集中区、临潼区新丰工业集中区3个重点建设县域工业集中区内是否存在化工企业开展排查。发现一家整治一家。生态环境部门依法配合做好相关工作。每季度对辖区内工业集中区及大中型企业“厂中厂”内是否存在化工企业开展一次排查，发现一家依法依规整治一家。</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3</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重点行业</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错峰生产</w:t>
            </w:r>
          </w:p>
        </w:tc>
        <w:tc>
          <w:tcPr>
            <w:tcW w:w="1500"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区科技工信和</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黑体" w:cs="黑体" w:hint="eastAsia"/>
                <w:color w:val="000000"/>
                <w:szCs w:val="21"/>
              </w:rPr>
              <w:t>商务局</w:t>
            </w:r>
          </w:p>
        </w:tc>
        <w:tc>
          <w:tcPr>
            <w:tcW w:w="1706"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4月30日前按市工信局要求报送夏季错峰生产企业名单及措施；9月25日前按市工信局要求报送冬季错峰生产企业名单及措施。每月开展辖区内企业监督检查。</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夏防期</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冬防期</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4</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淘汰落后产能</w:t>
            </w:r>
          </w:p>
        </w:tc>
        <w:tc>
          <w:tcPr>
            <w:tcW w:w="1500"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区科技工信和</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黑体" w:cs="黑体" w:hint="eastAsia"/>
                <w:color w:val="000000"/>
                <w:szCs w:val="21"/>
              </w:rPr>
              <w:t>商务局</w:t>
            </w:r>
          </w:p>
        </w:tc>
        <w:tc>
          <w:tcPr>
            <w:tcW w:w="1706"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每季度开展一次落后产能摸底排查，对排查出的落后产能依法依规进行淘汰。</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5</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强化“散乱污”综合整治</w:t>
            </w:r>
          </w:p>
        </w:tc>
        <w:tc>
          <w:tcPr>
            <w:tcW w:w="1500"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区科技工信和</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黑体" w:cs="黑体" w:hint="eastAsia"/>
                <w:color w:val="000000"/>
                <w:szCs w:val="21"/>
              </w:rPr>
              <w:t>商务局</w:t>
            </w:r>
          </w:p>
        </w:tc>
        <w:tc>
          <w:tcPr>
            <w:tcW w:w="1706"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6月底前完成已排查尚未完成整治的5家“散乱污”企业的50%，11月底完成100%。持续开展“散乱污”工业企业排查、综合整治；每月报送排查整治情况。将“散乱污”企业纳入网格化监督管理。对新发现的疑似“散乱污”企业，报至市工信局定性后及时纳入台</w:t>
            </w:r>
            <w:r>
              <w:rPr>
                <w:rFonts w:ascii="方正书宋简体" w:eastAsia="方正书宋简体" w:hAnsi="宋体" w:cs="宋体" w:hint="eastAsia"/>
                <w:color w:val="000000"/>
                <w:szCs w:val="21"/>
              </w:rPr>
              <w:lastRenderedPageBreak/>
              <w:t>账，分类实施整治。</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lastRenderedPageBreak/>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lastRenderedPageBreak/>
              <w:t>6</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深化工业</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污染治理</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生态</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环境分局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按照市生态环境局要求完成辖区涉气重点工业污染源（含重点污染源、45米高架源、重点VOCs企业）烟气在线监控设施安装、联网。完成涉气固定污染源排污许可证核发，每月向市生态环境局报送核发的企业名单。</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7</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工业企业</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无组织排放管理</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生态</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环境分局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按市生态环境局要求对辖区钢铁、建材、有色、火电、焦化、铸造等重点行业及燃煤锅炉无组织排放未达到《排污许可证申请与核发技术规范》相关规定，物料（废渣）储存、装卸、破碎、输送及工艺过程中未采取集中收集处理、密闭、围挡、遮盖、清扫、洒水等措施的企业进行排查，制定整改方案，限期整改；建立管理台账。每月现场对照《排污许可证申请与核发技术规范》及法律规定检查名单上企业的无组织排放实际情况。每月报送完成整治企业名单，并更新台账。</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12月20日</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8</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工业窑炉</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专项整治</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生态</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环境分局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实行动态化管理，持续开展工业炉窑排查，对新排查出的工业炉窑要及时纳入整治清单，做到发现一起，治理一起。逾期未完成治理、污染物排放不达标的，不得进行生产并予以封停。</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9</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VOCs专项整治</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生态</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环境分局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建立辖区涉及VOCs企业台账，每月更新并向市生态环境局报送。每季度对涉VOCs排放重点企业排放口和无组织排放情况监测1次，夏防期加密监测频次，监测结果送环境执法部门。按市上要求制定并实施辖区VOCs治理方案，夏防期对涉VOCs企业开展检查。</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夏防期</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10</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燃气锅炉</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综合整治</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生态</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环境分局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4月底前完成8台；5月底前完成7台；6月底前完成4台燃气锅炉低氮燃烧改造并达到排放标准要求，改造后的燃气锅炉氮氧化物排放浓度不高于80毫克/立方米。实行动态化管理，持续对辖区内燃气锅炉进行排查，对新排查的及时纳入台账。对拒不改造的，2019年7月1日起按《陕西省锅炉大气污染物排放标准（DB61 1226—2018）》规定的排放限值监督管理。</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12月20日</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11</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燃煤锅炉</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综合整</w:t>
            </w:r>
            <w:r>
              <w:rPr>
                <w:rFonts w:ascii="方正书宋简体" w:eastAsia="方正书宋简体" w:hAnsi="黑体" w:cs="黑体" w:hint="eastAsia"/>
                <w:color w:val="000000"/>
                <w:szCs w:val="21"/>
              </w:rPr>
              <w:lastRenderedPageBreak/>
              <w:t>治</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lastRenderedPageBreak/>
              <w:t>生态</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环境分局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FF0000"/>
                <w:szCs w:val="21"/>
              </w:rPr>
            </w:pP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继续对辖区内35蒸吨以下燃煤锅炉排查，发现一台，拆改一台，每月进行排查并更新台账，同时报送排查结果和拆除情况。</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12月20日</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lastRenderedPageBreak/>
              <w:t>12</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煤炭消费</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总量控制</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区发改委</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FF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完成市发改委下达的年度任务。本辖区年度削减任务要落实到具体企业。</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12月20日</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13</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开展燃煤散烧治理专项检查行动</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区市场</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监管局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非采暖季期间，每季度对辖区洁净煤经营单位组织一次检查，依法清理取缔非定点煤炭销售网点。冬防期每月对辖区定点煤炭经营网点煤质进行抽检。严厉打击散煤销售和非定点煤炭销售网点。对经营性散煤常态化进行监督管理，发现一起依法查处一起。</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14</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修订完善</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高污染燃料</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禁燃区划定</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生态</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环境分局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4月30日前，完成辖区现有高污染燃料禁燃区调研。按市生态环境局有关要求落实。</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15</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清洁取暖</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区发改委</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6月30日前，完成辖区清洁取暖率统计工作，按照市发改委要求每季度报送进展情况。年底前确保辖区城区内清洁取暖达90%以上，县城和城乡结合部达到70%以上，农村地区达到40%以上。</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16</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发展地热能</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区发改委</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按照市发改委要求，每月上报新建建筑项目情况，对具备条件的新建建筑全部采用地热能；新建单体建筑面积2万平方米以上，有集中供暖制冷需求的，应采用地热能，每月向市发改委报送实施的项目信息。</w:t>
            </w:r>
          </w:p>
        </w:tc>
        <w:tc>
          <w:tcPr>
            <w:tcW w:w="1209"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4月30日起</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17</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加快“煤改电”电网升级改造</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区发改委</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5月25日前，对已完成煤改电用户电取暖情况全面排查。对因电网负荷无法满足需求的，向市发改委上报排查情况。对“煤改电”配套电网工程建设给予大力支持。</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5月25日</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18</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推进散煤治理</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区发改委</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w:t>
            </w:r>
            <w:r>
              <w:rPr>
                <w:rFonts w:ascii="方正书宋简体" w:eastAsia="方正书宋简体" w:hAnsi="宋体" w:cs="宋体" w:hint="eastAsia"/>
                <w:color w:val="000000"/>
                <w:szCs w:val="21"/>
              </w:rPr>
              <w:lastRenderedPageBreak/>
              <w:t>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lastRenderedPageBreak/>
              <w:t>按市发改委要求完成并报送散煤治理定村确户清单，10月底前完成清单中户数的清洁能源替代散煤工作，每月报送进展情况表；采暖季期间每月组织开展洁净煤煤质专项检查，冬防期不</w:t>
            </w:r>
            <w:r>
              <w:rPr>
                <w:rFonts w:ascii="方正书宋简体" w:eastAsia="方正书宋简体" w:hAnsi="宋体" w:cs="宋体" w:hint="eastAsia"/>
                <w:color w:val="000000"/>
                <w:szCs w:val="21"/>
              </w:rPr>
              <w:lastRenderedPageBreak/>
              <w:t>间断的开展煤质专项检查。</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lastRenderedPageBreak/>
              <w:t>11月15日</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lastRenderedPageBreak/>
              <w:t>19</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合理布局洁净煤配送网点</w:t>
            </w:r>
          </w:p>
        </w:tc>
        <w:tc>
          <w:tcPr>
            <w:tcW w:w="1500"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区科技工信和</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黑体" w:cs="黑体" w:hint="eastAsia"/>
                <w:color w:val="000000"/>
                <w:szCs w:val="21"/>
              </w:rPr>
              <w:t>商务局</w:t>
            </w:r>
          </w:p>
        </w:tc>
        <w:tc>
          <w:tcPr>
            <w:tcW w:w="1706"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按照市上要求，5月30日前，完成辖区确需清洁煤取暖区域和户数填报工作。按照市商务局要求，科学布设配送网点，确保未完成“双替代”区域全覆盖。</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9月25日</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20</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优化热源点</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规划布局</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区发改委</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按市发改委已新建燃气锅炉暂保留的燃煤锅炉处置方案，落实改造任务。辖区内禁止新建燃煤集中供热站。</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1122"/>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21</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完成城市智能电表改造</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区建住局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按照市住建局要求继续开展城市智能电表改造工作，4月30日前完成本辖区任务量的40%；6月30日前完成任务量的60%；8月30日前完成任务量的80%；11月15日全面完成年度任务。每月报送进展情况。</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12月20日</w:t>
            </w:r>
          </w:p>
        </w:tc>
      </w:tr>
      <w:tr w:rsidR="00DE64C1" w:rsidTr="006E4FD6">
        <w:trPr>
          <w:trHeight w:val="982"/>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22</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加强秸秆</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综合利用</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区农业</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农村局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按照市农业农村局要求全面完成秸秆综合利用工作，农作物秸秆综合利用率稳定在95%以上。</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11月30日</w:t>
            </w:r>
          </w:p>
        </w:tc>
      </w:tr>
      <w:tr w:rsidR="00DE64C1" w:rsidTr="006E4FD6">
        <w:trPr>
          <w:trHeight w:val="1318"/>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23</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加强在用</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机动车管理</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生态</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环境分局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结合辖区道路和柴油货车通行状况，开展老旧车道路抽检执法检查工作。每周开展执法检查不少于3次（含夜查），检测老旧车不少于150辆。按照市上柴油货车集中停放地监督抽测计划，完成辖区抽检任务。</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每周</w:t>
            </w:r>
          </w:p>
        </w:tc>
      </w:tr>
      <w:tr w:rsidR="00DE64C1" w:rsidTr="006E4FD6">
        <w:trPr>
          <w:trHeight w:val="1433"/>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24</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开展非道路移动机械污染防治</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生态</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环境分局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4月底和8月底向市生态环境局报送摸底结果。9月底完成非道路移动机械编码登记。凡达不到《非道路柴油移动机械排气烟度限值及测量方法》(GB36886—2018)规定的Ⅲ类限值标准的，6月1日起在城市建成区内禁止使用，10月1日起在行政区内禁止使用。秋冬季期间，对辖区内作业的非道路移动机械排放状况每月检查8次以上，抽查率达到50%以上，禁止超标排放工程机械使用。</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12月20日</w:t>
            </w:r>
          </w:p>
        </w:tc>
      </w:tr>
      <w:tr w:rsidR="00DE64C1" w:rsidTr="006E4FD6">
        <w:trPr>
          <w:trHeight w:val="784"/>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lastRenderedPageBreak/>
              <w:t>25</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严格新车环保检验装置</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生态</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环境分局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每月至少开展1次在新车销售、检验、登记等场所环保装置抽查工作，保证新车环保装置生产一致性。</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1048"/>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26</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高排放机动车污染治理</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公安分局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FF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2019年底前，淘汰国三及以下营运柴油货车1137辆（其中重、中型柴油货车789辆）、老旧燃气车140辆；每月报送淘汰的车辆信息。</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12月20日</w:t>
            </w:r>
          </w:p>
        </w:tc>
      </w:tr>
      <w:tr w:rsidR="00DE64C1" w:rsidTr="006E4FD6">
        <w:trPr>
          <w:trHeight w:val="806"/>
        </w:trPr>
        <w:tc>
          <w:tcPr>
            <w:tcW w:w="710" w:type="dxa"/>
            <w:vMerge w:val="restart"/>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27</w:t>
            </w:r>
          </w:p>
        </w:tc>
        <w:tc>
          <w:tcPr>
            <w:tcW w:w="1275" w:type="dxa"/>
            <w:vMerge w:val="restart"/>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加快油品</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质量升级</w:t>
            </w:r>
          </w:p>
        </w:tc>
        <w:tc>
          <w:tcPr>
            <w:tcW w:w="1500"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区科技工信和</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黑体" w:cs="黑体" w:hint="eastAsia"/>
                <w:color w:val="000000"/>
                <w:szCs w:val="21"/>
              </w:rPr>
              <w:t>商务局</w:t>
            </w:r>
          </w:p>
        </w:tc>
        <w:tc>
          <w:tcPr>
            <w:tcW w:w="1706" w:type="dxa"/>
            <w:vAlign w:val="center"/>
          </w:tcPr>
          <w:p w:rsidR="00DE64C1" w:rsidRDefault="00DE64C1" w:rsidP="006E4FD6">
            <w:pPr>
              <w:spacing w:line="250" w:lineRule="exact"/>
              <w:jc w:val="center"/>
              <w:rPr>
                <w:rFonts w:ascii="方正书宋简体" w:eastAsia="方正书宋简体" w:hAnsi="黑体" w:cs="黑体" w:hint="eastAsia"/>
                <w:color w:val="FF0000"/>
                <w:szCs w:val="21"/>
              </w:rPr>
            </w:pP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按照市商务局要求组织开展“黑加油站点”、流动加油罐车专项整治行动；对发现的“黑加油站点”及流动加油罐车，发现一例立即整治一例。每月向市商务局报送实施情况。</w:t>
            </w:r>
          </w:p>
        </w:tc>
        <w:tc>
          <w:tcPr>
            <w:tcW w:w="1209" w:type="dxa"/>
            <w:vMerge w:val="restart"/>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12月20日</w:t>
            </w:r>
          </w:p>
        </w:tc>
      </w:tr>
      <w:tr w:rsidR="00DE64C1" w:rsidTr="006E4FD6">
        <w:trPr>
          <w:trHeight w:val="1070"/>
        </w:trPr>
        <w:tc>
          <w:tcPr>
            <w:tcW w:w="710" w:type="dxa"/>
            <w:vMerge/>
            <w:vAlign w:val="center"/>
          </w:tcPr>
          <w:p w:rsidR="00DE64C1" w:rsidRDefault="00DE64C1" w:rsidP="006E4FD6">
            <w:pPr>
              <w:spacing w:line="250" w:lineRule="exact"/>
              <w:jc w:val="center"/>
              <w:rPr>
                <w:rFonts w:ascii="方正书宋简体" w:eastAsia="方正书宋简体" w:hint="eastAsia"/>
                <w:color w:val="000000"/>
                <w:szCs w:val="21"/>
              </w:rPr>
            </w:pPr>
          </w:p>
        </w:tc>
        <w:tc>
          <w:tcPr>
            <w:tcW w:w="1275" w:type="dxa"/>
            <w:vMerge/>
            <w:vAlign w:val="center"/>
          </w:tcPr>
          <w:p w:rsidR="00DE64C1" w:rsidRDefault="00DE64C1" w:rsidP="006E4FD6">
            <w:pPr>
              <w:spacing w:line="250" w:lineRule="exact"/>
              <w:jc w:val="center"/>
              <w:rPr>
                <w:rFonts w:ascii="方正书宋简体" w:eastAsia="方正书宋简体" w:hAnsi="黑体" w:cs="黑体" w:hint="eastAsia"/>
                <w:color w:val="000000"/>
                <w:szCs w:val="21"/>
              </w:rPr>
            </w:pP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生态</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环境分局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FF0000"/>
                <w:szCs w:val="21"/>
              </w:rPr>
            </w:pP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4月30日前完成辖区年销售汽油量大于5000吨加油站摸底。6月30日前10%的加油站完成在线监控设备安装；9月30日前50%加油站完成在线监控设备安装；12月10日前相关加油站全部安装在线监测设备并与商务和生态环境部门联网。</w:t>
            </w:r>
          </w:p>
        </w:tc>
        <w:tc>
          <w:tcPr>
            <w:tcW w:w="1209" w:type="dxa"/>
            <w:vMerge/>
            <w:vAlign w:val="center"/>
          </w:tcPr>
          <w:p w:rsidR="00DE64C1" w:rsidRDefault="00DE64C1" w:rsidP="006E4FD6">
            <w:pPr>
              <w:spacing w:line="250" w:lineRule="exact"/>
              <w:jc w:val="center"/>
              <w:rPr>
                <w:rFonts w:ascii="方正书宋简体" w:eastAsia="方正书宋简体" w:hAnsi="宋体" w:cs="宋体" w:hint="eastAsia"/>
                <w:color w:val="000000"/>
                <w:szCs w:val="21"/>
              </w:rPr>
            </w:pP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28</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深化“三场（厂）”扬尘污染治理</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国土分局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对保留的砂石场、白灰场、黏土砖厂必须建设具备围挡、覆盖等防风抑尘措施的物料仓库，严禁露天堆放，砂石场、黏土砖厂物料采集、装卸过程中必须采用湿法作业。</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12月20日</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29</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加强物料堆场扬尘监管</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生态</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环境分局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每月对辖区煤炭、粉煤灰物料堆场进行检查，建立检查台账。安装堆场的全方位视频监控并与生态环境分局联网。4月底前完成辖区应配套建设收尘和密封物料仓库企业摸底，建立台账，5月底完成台账内企业围墙、喷淋、覆盖和围挡等防风抑尘措施。</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12月20日</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30</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施工扬尘监管</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区住建局</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区城管局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按照市城管局要求，建立辖区所有符合条件（工期超过1个月、占用面积在1000平方米以上）的市政维护工地及非市政挖占工地（水、电、气、热等）在线监测和视频监控任务清单，并于每月30日之前进行更新，新建项目取得道路挖占许可证后15个工作日内完成在线监测和视频监控安装。新建项目取得施工许可后1个月内完成在线监测和视频监控安装。按照市城管局要求，建立辖区所有符合条件（出土总量在5000立方米以上（含）或集中施工面积超过300平方米的出土工地，拆除工期超过1个月）的出土、拆迁工地安装在线监测和视频监控任务清单。</w:t>
            </w:r>
            <w:r>
              <w:rPr>
                <w:rFonts w:ascii="方正书宋简体" w:eastAsia="方正书宋简体" w:hAnsi="宋体" w:cs="宋体" w:hint="eastAsia"/>
                <w:color w:val="000000"/>
                <w:szCs w:val="21"/>
              </w:rPr>
              <w:lastRenderedPageBreak/>
              <w:t>出土工地在办理建筑垃圾清运手续时，必须取得施工许可证，并完成在线监测和视频监控安装。按照市住建局要求，建立辖区所有符合条件（工期超过2个月或占地面积超过300平方米或总投资额超过100万元）的建筑施工工地安装在线监测和视频监控任务清单。新建项目符合条件的在取得施工许可后1个月内完成在线监测和视频监控安装。</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lastRenderedPageBreak/>
              <w:t>4月30日</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lastRenderedPageBreak/>
              <w:t>31</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建立标准化扬尘在线监控系统</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区住建局</w:t>
            </w:r>
          </w:p>
          <w:p w:rsidR="00DE64C1" w:rsidRDefault="00DE64C1" w:rsidP="006E4FD6">
            <w:pPr>
              <w:spacing w:line="250" w:lineRule="exact"/>
              <w:jc w:val="center"/>
              <w:rPr>
                <w:rFonts w:ascii="方正书宋简体" w:eastAsia="方正书宋简体" w:hAnsi="宋体" w:cs="宋体" w:hint="eastAsia"/>
                <w:color w:val="000000"/>
                <w:szCs w:val="21"/>
              </w:rPr>
            </w:pPr>
            <w:r w:rsidRPr="00A36484">
              <w:rPr>
                <w:rFonts w:ascii="方正书宋简体" w:eastAsia="方正书宋简体" w:hAnsi="宋体" w:cs="宋体" w:hint="eastAsia"/>
                <w:color w:val="000000"/>
                <w:szCs w:val="21"/>
              </w:rPr>
              <w:t>区城管局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每季度开展辖区各类工地在线系统抽检和质控工作。每月检查比例不少于辖区工地总数的30%，抽检、质控完成后建立台账。</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32</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加强两类企业堆场扬尘监管</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区住建局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开展辖区“两类企业”扬尘防治督导检查；按照市住建局要求对辖区内所有两类企业防尘、抑尘、收尘设施建设情况和运行状况，进行排查，建立问题清单。</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33</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严格控制各类工地扬尘污染排放</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区住建局</w:t>
            </w:r>
          </w:p>
          <w:p w:rsidR="00DE64C1" w:rsidRDefault="00DE64C1" w:rsidP="006E4FD6">
            <w:pPr>
              <w:spacing w:line="250" w:lineRule="exact"/>
              <w:jc w:val="center"/>
              <w:rPr>
                <w:rFonts w:ascii="方正书宋简体" w:eastAsia="方正书宋简体" w:hAnsi="宋体" w:cs="宋体" w:hint="eastAsia"/>
                <w:color w:val="000000"/>
                <w:szCs w:val="21"/>
              </w:rPr>
            </w:pPr>
            <w:r w:rsidRPr="00A36484">
              <w:rPr>
                <w:rFonts w:ascii="方正书宋简体" w:eastAsia="方正书宋简体" w:hAnsi="宋体" w:cs="宋体" w:hint="eastAsia"/>
                <w:color w:val="000000"/>
                <w:szCs w:val="21"/>
              </w:rPr>
              <w:t>区城管局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4月30日前建立全市建筑工地、市政工地、出土工地、拆迁工地管理清单，并每月更新。严格落实“精细化管理+红黄绿挂牌结果管理”模式，严格控制建设、出土、拆迁工地及“两类企业”扬尘污染排放，严格落实“六个100%”和“七个到位”管理要求。严厉打击各类“黑工地”，发现一个依法查处一个，并追究属地管理责任。</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34</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加强采暖季</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施工监管</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区住建局</w:t>
            </w:r>
          </w:p>
          <w:p w:rsidR="00DE64C1" w:rsidRDefault="00DE64C1" w:rsidP="006E4FD6">
            <w:pPr>
              <w:spacing w:line="250" w:lineRule="exact"/>
              <w:jc w:val="center"/>
              <w:rPr>
                <w:rFonts w:ascii="方正书宋简体" w:eastAsia="方正书宋简体" w:hAnsi="宋体" w:cs="宋体" w:hint="eastAsia"/>
                <w:color w:val="000000"/>
                <w:szCs w:val="21"/>
              </w:rPr>
            </w:pPr>
            <w:r w:rsidRPr="00A36484">
              <w:rPr>
                <w:rFonts w:ascii="方正书宋简体" w:eastAsia="方正书宋简体" w:hAnsi="宋体" w:cs="宋体" w:hint="eastAsia"/>
                <w:color w:val="000000"/>
                <w:szCs w:val="21"/>
              </w:rPr>
              <w:t>区城管局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9月30日前完成辖区中心城区划定，并报市政府备案。采暖季期间，按照市上要求进行施工审批，并落实属地监管责任；对采暖期施工的工地，区住建局要严格监管，对达不到扬尘管控要求、环境保护措施不到位或有扬尘违法违规问题施工的工地，责令停止施工并从重处罚。</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冬防期</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35</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严格道路保洁作业标准</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sidRPr="00A36484">
              <w:rPr>
                <w:rFonts w:ascii="方正书宋简体" w:eastAsia="方正书宋简体" w:hAnsi="宋体" w:cs="宋体" w:hint="eastAsia"/>
                <w:color w:val="000000"/>
                <w:szCs w:val="21"/>
              </w:rPr>
              <w:t>区城管局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4月底前新增小型新能源保洁车辆（具备吸尘功能）2辆。按照市城管局要求实行机械化清扫、精细化保洁、地毯式吸尘、定时段清洗、全方位洒水的“五位一体”作业模式，从源头上防止道路扬尘。按市城管局要求，开展道路洁净度检测评定，每月报送检测评定结果。确定道路清扫责任主体，建立相应的通报、整改、提升等工作机制并定期调度。</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12月20日</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lastRenderedPageBreak/>
              <w:t>36</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严格监管</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渣土运输车辆</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sidRPr="00A36484">
              <w:rPr>
                <w:rFonts w:ascii="方正书宋简体" w:eastAsia="方正书宋简体" w:hAnsi="宋体" w:cs="宋体" w:hint="eastAsia"/>
                <w:color w:val="000000"/>
                <w:szCs w:val="21"/>
              </w:rPr>
              <w:t>区城管局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每季度，开展渣土运输车辆全密封检测并建立台账。对检测不合格车辆由辖区建筑垃圾主管部门做好停运工作。按照市城管局要求进一步规范渣土通道联合值守点设置及工作机制，对发现存在超高装载、带泥上路等违规行为的，依法查扣处罚清运车辆，并建立倒查机制，追究项目工地、容貌监督员、承运资质公司责任，依法从严从重查处。</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37</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提高城市道路硬化率</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区住建局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4月30日前完成城区道路破损摸排工作，建立清单报市城管局。按照市城管局要求年底前完成任务，制定巡查计划，每月进行抑尘作业。</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38</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国省干道和县乡公路扬尘监管</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区交运局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按照结冰期和非结冰期道路清扫工作方案认真开展国省干线清扫工作；重点加强对国省道的扬尘清扫，明确绕城高速内国省道每日至少清扫3次，其他路段每日至少清扫1次，全力降低道路扬尘二次污染。严查辖区各类非厢式货车装载粉尘式货物，依法纠正、处理货运车辆行驶过程中的粉尘逸散。开展国省干道、县乡公路与农村地区生产路、田间道连接点位摸排统计，做好扬尘管控。</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39</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加强煤炭存储扬尘监管</w:t>
            </w:r>
          </w:p>
        </w:tc>
        <w:tc>
          <w:tcPr>
            <w:tcW w:w="1500"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区科技工信和</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黑体" w:cs="黑体" w:hint="eastAsia"/>
                <w:color w:val="000000"/>
                <w:szCs w:val="21"/>
              </w:rPr>
              <w:t>商务局</w:t>
            </w:r>
          </w:p>
        </w:tc>
        <w:tc>
          <w:tcPr>
            <w:tcW w:w="1706"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非采暖季，每季度对辖区现有煤炭交易市场、煤炭销售网点及临时布设的经营网点开展一次巡查。采暖季，每月对辖区现有煤炭交易市场、煤炭销售网点及临时布设的经营网点开展一次巡查。确保覆盖、围挡等抑尘措施落实到位。</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40</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加大环境</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执法力度</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生态</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环境分局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5月31日前开展陕西理忠环保新材料有限公司物料堆场和7个行业企业无组织排放检查；6月1日至9月30日开展辖区有机废气专项检查，重点对有机废气处理设施的运行情况进行检查；冬防期开展辖区涉煤污染和重污染应急清单执行情况检查。</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41</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强化科技支撑</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生态</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环境分局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结合辖区实际，开展“一县一策”科技治霾。</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12月20日</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42</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加强网格化建设</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生态</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环境分局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落实《西安市生态环境保护网格化管理办法》，完善铁腕治霾网格化监管平台建设，规范网格化闭环处置流程。加强专职网格员业务培训，实施月度考核，夯实二级、三级网格工作职责。</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43</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强化环境执法</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生态</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环境分局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w:t>
            </w:r>
            <w:r>
              <w:rPr>
                <w:rFonts w:ascii="方正书宋简体" w:eastAsia="方正书宋简体" w:hAnsi="宋体" w:cs="宋体" w:hint="eastAsia"/>
                <w:color w:val="000000"/>
                <w:szCs w:val="21"/>
              </w:rPr>
              <w:lastRenderedPageBreak/>
              <w:t>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lastRenderedPageBreak/>
              <w:t>按照市生态环境局要求制定辖区夏防期执法检查行动方案，并组织实施。</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夏防期</w:t>
            </w:r>
          </w:p>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lastRenderedPageBreak/>
              <w:t>冬防期</w:t>
            </w:r>
          </w:p>
          <w:p w:rsidR="00DE64C1" w:rsidRDefault="00DE64C1" w:rsidP="006E4FD6">
            <w:pPr>
              <w:spacing w:line="250" w:lineRule="exact"/>
              <w:jc w:val="center"/>
              <w:rPr>
                <w:rFonts w:ascii="方正书宋简体" w:eastAsia="方正书宋简体" w:hAnsi="宋体" w:cs="宋体" w:hint="eastAsia"/>
                <w:color w:val="000000"/>
                <w:szCs w:val="21"/>
              </w:rPr>
            </w:pP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lastRenderedPageBreak/>
              <w:t>44</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加大餐饮</w:t>
            </w:r>
          </w:p>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油烟治理力度</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sidRPr="00A36484">
              <w:rPr>
                <w:rFonts w:ascii="方正书宋简体" w:eastAsia="方正书宋简体" w:hAnsi="宋体" w:cs="宋体" w:hint="eastAsia"/>
                <w:color w:val="000000"/>
                <w:szCs w:val="21"/>
              </w:rPr>
              <w:t>区城管局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对辖区居民住宅楼、未配套设立专用烟道的商住综合楼以及商住综合楼内与居住层相邻的商业楼层餐饮单位进行全面摸排，建立工作台账。常态化开展餐饮油烟专项执法检查，严厉打击油烟直排、不安装油烟净化设施等违法违规行为。</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r w:rsidR="00DE64C1" w:rsidTr="006E4FD6">
        <w:trPr>
          <w:trHeight w:val="567"/>
        </w:trPr>
        <w:tc>
          <w:tcPr>
            <w:tcW w:w="710" w:type="dxa"/>
            <w:vAlign w:val="center"/>
          </w:tcPr>
          <w:p w:rsidR="00DE64C1" w:rsidRDefault="00DE64C1" w:rsidP="006E4FD6">
            <w:pPr>
              <w:spacing w:line="250" w:lineRule="exact"/>
              <w:jc w:val="center"/>
              <w:rPr>
                <w:rFonts w:ascii="方正书宋简体" w:eastAsia="方正书宋简体" w:hint="eastAsia"/>
                <w:color w:val="000000"/>
                <w:szCs w:val="21"/>
              </w:rPr>
            </w:pPr>
            <w:r>
              <w:rPr>
                <w:rFonts w:ascii="方正书宋简体" w:eastAsia="方正书宋简体" w:hint="eastAsia"/>
                <w:color w:val="000000"/>
                <w:szCs w:val="21"/>
              </w:rPr>
              <w:t>45</w:t>
            </w:r>
          </w:p>
        </w:tc>
        <w:tc>
          <w:tcPr>
            <w:tcW w:w="1275" w:type="dxa"/>
            <w:vAlign w:val="center"/>
          </w:tcPr>
          <w:p w:rsidR="00DE64C1" w:rsidRDefault="00DE64C1" w:rsidP="006E4FD6">
            <w:pPr>
              <w:spacing w:line="250" w:lineRule="exact"/>
              <w:jc w:val="center"/>
              <w:rPr>
                <w:rFonts w:ascii="方正书宋简体" w:eastAsia="方正书宋简体" w:hAnsi="黑体" w:cs="黑体" w:hint="eastAsia"/>
                <w:color w:val="000000"/>
                <w:szCs w:val="21"/>
              </w:rPr>
            </w:pPr>
            <w:r>
              <w:rPr>
                <w:rFonts w:ascii="方正书宋简体" w:eastAsia="方正书宋简体" w:hAnsi="黑体" w:cs="黑体" w:hint="eastAsia"/>
                <w:color w:val="000000"/>
                <w:szCs w:val="21"/>
              </w:rPr>
              <w:t>加强露天焚烧污染管控</w:t>
            </w:r>
          </w:p>
        </w:tc>
        <w:tc>
          <w:tcPr>
            <w:tcW w:w="1500"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sidRPr="00A36484">
              <w:rPr>
                <w:rFonts w:ascii="方正书宋简体" w:eastAsia="方正书宋简体" w:hAnsi="宋体" w:cs="宋体" w:hint="eastAsia"/>
                <w:color w:val="000000"/>
                <w:szCs w:val="21"/>
              </w:rPr>
              <w:t>区城管局</w:t>
            </w:r>
          </w:p>
        </w:tc>
        <w:tc>
          <w:tcPr>
            <w:tcW w:w="1706"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各相关街道办事处、园区管委会</w:t>
            </w:r>
          </w:p>
        </w:tc>
        <w:tc>
          <w:tcPr>
            <w:tcW w:w="8907" w:type="dxa"/>
            <w:vAlign w:val="center"/>
          </w:tcPr>
          <w:p w:rsidR="00DE64C1" w:rsidRDefault="00DE64C1" w:rsidP="006E4FD6">
            <w:pPr>
              <w:spacing w:line="25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切实加强秸秆、垃圾、树叶、杂物露天焚烧及燃放烟花爆竹管控、查处力度，强化辖区各级主体责任，重点区域建立网格化监管制度，重点时段开展专项巡查，严防因露天焚烧造成区域性重污染天气。</w:t>
            </w:r>
          </w:p>
        </w:tc>
        <w:tc>
          <w:tcPr>
            <w:tcW w:w="1209" w:type="dxa"/>
            <w:vAlign w:val="center"/>
          </w:tcPr>
          <w:p w:rsidR="00DE64C1" w:rsidRDefault="00DE64C1" w:rsidP="006E4FD6">
            <w:pPr>
              <w:spacing w:line="250" w:lineRule="exact"/>
              <w:jc w:val="center"/>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全年</w:t>
            </w:r>
          </w:p>
        </w:tc>
      </w:tr>
    </w:tbl>
    <w:p w:rsidR="00116E4E" w:rsidRPr="00DE64C1" w:rsidRDefault="00116E4E" w:rsidP="00DE64C1">
      <w:pPr>
        <w:rPr>
          <w:szCs w:val="30"/>
        </w:rPr>
      </w:pPr>
    </w:p>
    <w:sectPr w:rsidR="00116E4E" w:rsidRPr="00DE64C1" w:rsidSect="00FB1705">
      <w:footerReference w:type="even" r:id="rId7"/>
      <w:footerReference w:type="default" r:id="rId8"/>
      <w:footerReference w:type="first" r:id="rId9"/>
      <w:pgSz w:w="16838" w:h="11906" w:orient="landscape"/>
      <w:pgMar w:top="1800" w:right="1440" w:bottom="1800" w:left="144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6429" w:rsidRDefault="00CF6429" w:rsidP="001F5E93">
      <w:r>
        <w:separator/>
      </w:r>
    </w:p>
  </w:endnote>
  <w:endnote w:type="continuationSeparator" w:id="1">
    <w:p w:rsidR="00CF6429" w:rsidRDefault="00CF6429"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方正书宋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5"/>
      <w:ind w:firstLineChars="100" w:firstLine="280"/>
      <w:rPr>
        <w:rFonts w:ascii="宋体" w:eastAsia="宋体" w:hAnsi="宋体"/>
      </w:rPr>
    </w:pPr>
    <w:r w:rsidRPr="003876A0">
      <w:rPr>
        <w:rFonts w:ascii="宋体" w:eastAsia="宋体" w:hAnsi="宋体" w:hint="eastAsia"/>
        <w:sz w:val="28"/>
      </w:rPr>
      <w:t xml:space="preserve">— </w:t>
    </w:r>
    <w:r w:rsidR="00993D7C"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993D7C" w:rsidRPr="003876A0">
      <w:rPr>
        <w:rFonts w:ascii="宋体" w:eastAsia="宋体" w:hAnsi="宋体" w:hint="eastAsia"/>
        <w:sz w:val="28"/>
      </w:rPr>
      <w:fldChar w:fldCharType="separate"/>
    </w:r>
    <w:r>
      <w:rPr>
        <w:rFonts w:ascii="宋体" w:eastAsia="宋体" w:hAnsi="宋体"/>
        <w:noProof/>
        <w:sz w:val="28"/>
      </w:rPr>
      <w:t>16</w:t>
    </w:r>
    <w:r w:rsidR="00993D7C"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5"/>
      <w:ind w:right="140"/>
      <w:jc w:val="right"/>
    </w:pPr>
    <w:r>
      <w:rPr>
        <w:rFonts w:ascii="宋体" w:hint="eastAsia"/>
        <w:sz w:val="28"/>
      </w:rPr>
      <w:t>—</w:t>
    </w:r>
    <w:r>
      <w:rPr>
        <w:rFonts w:ascii="宋体" w:hint="eastAsia"/>
        <w:sz w:val="28"/>
      </w:rPr>
      <w:t xml:space="preserve"> </w:t>
    </w:r>
    <w:r w:rsidR="00993D7C">
      <w:rPr>
        <w:rFonts w:ascii="宋体" w:hint="eastAsia"/>
        <w:sz w:val="28"/>
      </w:rPr>
      <w:fldChar w:fldCharType="begin"/>
    </w:r>
    <w:r>
      <w:rPr>
        <w:rFonts w:ascii="宋体" w:hint="eastAsia"/>
        <w:sz w:val="28"/>
      </w:rPr>
      <w:instrText xml:space="preserve"> PAGE \* Arabic </w:instrText>
    </w:r>
    <w:r w:rsidR="00993D7C">
      <w:rPr>
        <w:rFonts w:ascii="宋体" w:hint="eastAsia"/>
        <w:sz w:val="28"/>
      </w:rPr>
      <w:fldChar w:fldCharType="separate"/>
    </w:r>
    <w:r w:rsidR="00DE64C1">
      <w:rPr>
        <w:rFonts w:ascii="宋体"/>
        <w:noProof/>
        <w:sz w:val="28"/>
      </w:rPr>
      <w:t>1</w:t>
    </w:r>
    <w:r w:rsidR="00993D7C">
      <w:rPr>
        <w:rFonts w:ascii="宋体" w:hint="eastAsia"/>
        <w:sz w:val="28"/>
      </w:rPr>
      <w:fldChar w:fldCharType="end"/>
    </w:r>
    <w:r>
      <w:rPr>
        <w:rFonts w:ascii="宋体" w:hint="eastAsia"/>
        <w:sz w:val="28"/>
      </w:rPr>
      <w:t xml:space="preserve"> </w:t>
    </w:r>
    <w:r>
      <w:rPr>
        <w:rFonts w:ascii="宋体" w:hint="eastAsia"/>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5"/>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6429" w:rsidRDefault="00CF6429" w:rsidP="001F5E93">
      <w:r>
        <w:separator/>
      </w:r>
    </w:p>
  </w:footnote>
  <w:footnote w:type="continuationSeparator" w:id="1">
    <w:p w:rsidR="00CF6429" w:rsidRDefault="00CF6429"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nsid w:val="32147612"/>
    <w:multiLevelType w:val="multilevel"/>
    <w:tmpl w:val="32147612"/>
    <w:lvl w:ilvl="0">
      <w:start w:val="1"/>
      <w:numFmt w:val="decimal"/>
      <w:lvlText w:val="%1"/>
      <w:lvlJc w:val="left"/>
      <w:pPr>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3A69B42F"/>
    <w:multiLevelType w:val="singleLevel"/>
    <w:tmpl w:val="3A69B42F"/>
    <w:lvl w:ilvl="0">
      <w:start w:val="1"/>
      <w:numFmt w:val="decimal"/>
      <w:lvlText w:val="%1."/>
      <w:lvlJc w:val="left"/>
      <w:pPr>
        <w:ind w:left="425" w:hanging="425"/>
      </w:pPr>
      <w:rPr>
        <w:rFonts w:cs="Times New Roman" w:hint="default"/>
      </w:rPr>
    </w:lvl>
  </w:abstractNum>
  <w:num w:numId="1">
    <w:abstractNumId w:val="0"/>
  </w:num>
  <w:num w:numId="2">
    <w:abstractNumId w:val="2"/>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542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011E82"/>
    <w:rsid w:val="00027F5D"/>
    <w:rsid w:val="00046813"/>
    <w:rsid w:val="000C764A"/>
    <w:rsid w:val="000F748A"/>
    <w:rsid w:val="00116E4E"/>
    <w:rsid w:val="001F2809"/>
    <w:rsid w:val="001F3227"/>
    <w:rsid w:val="001F5E93"/>
    <w:rsid w:val="002165DF"/>
    <w:rsid w:val="002557D7"/>
    <w:rsid w:val="002C465E"/>
    <w:rsid w:val="002D3903"/>
    <w:rsid w:val="002E0C56"/>
    <w:rsid w:val="0030321C"/>
    <w:rsid w:val="00310C9D"/>
    <w:rsid w:val="00322137"/>
    <w:rsid w:val="00343672"/>
    <w:rsid w:val="00345C32"/>
    <w:rsid w:val="003B036A"/>
    <w:rsid w:val="003D2D53"/>
    <w:rsid w:val="003F412D"/>
    <w:rsid w:val="003F7494"/>
    <w:rsid w:val="0040437D"/>
    <w:rsid w:val="0044633E"/>
    <w:rsid w:val="0048410C"/>
    <w:rsid w:val="00492DD7"/>
    <w:rsid w:val="004E2031"/>
    <w:rsid w:val="004F7E7B"/>
    <w:rsid w:val="005227D3"/>
    <w:rsid w:val="00537CFD"/>
    <w:rsid w:val="006153DC"/>
    <w:rsid w:val="0064014E"/>
    <w:rsid w:val="0064672E"/>
    <w:rsid w:val="00656247"/>
    <w:rsid w:val="0069295C"/>
    <w:rsid w:val="006B11C9"/>
    <w:rsid w:val="006B2305"/>
    <w:rsid w:val="006B4259"/>
    <w:rsid w:val="006D0E2A"/>
    <w:rsid w:val="00732728"/>
    <w:rsid w:val="00740200"/>
    <w:rsid w:val="00750721"/>
    <w:rsid w:val="00750A89"/>
    <w:rsid w:val="00761333"/>
    <w:rsid w:val="007A3333"/>
    <w:rsid w:val="007D31F7"/>
    <w:rsid w:val="008102F0"/>
    <w:rsid w:val="008836B0"/>
    <w:rsid w:val="0094088D"/>
    <w:rsid w:val="00971391"/>
    <w:rsid w:val="00993D7C"/>
    <w:rsid w:val="009F3AC3"/>
    <w:rsid w:val="00A25DB2"/>
    <w:rsid w:val="00A363F2"/>
    <w:rsid w:val="00B62E90"/>
    <w:rsid w:val="00B87365"/>
    <w:rsid w:val="00BB1C35"/>
    <w:rsid w:val="00CF6429"/>
    <w:rsid w:val="00D01562"/>
    <w:rsid w:val="00D1103C"/>
    <w:rsid w:val="00D46DD6"/>
    <w:rsid w:val="00D5366B"/>
    <w:rsid w:val="00D70AAD"/>
    <w:rsid w:val="00DE64C1"/>
    <w:rsid w:val="00E22AC9"/>
    <w:rsid w:val="00E43060"/>
    <w:rsid w:val="00E47F6A"/>
    <w:rsid w:val="00E807DF"/>
    <w:rsid w:val="00E946EB"/>
    <w:rsid w:val="00EC3534"/>
    <w:rsid w:val="00ED0E8F"/>
    <w:rsid w:val="00F154DD"/>
    <w:rsid w:val="00F36420"/>
    <w:rsid w:val="00F71E79"/>
    <w:rsid w:val="00FB1705"/>
    <w:rsid w:val="00FC38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Normal (Web)" w:uiPriority="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paragraph" w:styleId="1">
    <w:name w:val="heading 1"/>
    <w:basedOn w:val="a0"/>
    <w:next w:val="2"/>
    <w:link w:val="1Char"/>
    <w:uiPriority w:val="1"/>
    <w:qFormat/>
    <w:rsid w:val="002165DF"/>
    <w:pPr>
      <w:spacing w:line="560" w:lineRule="exact"/>
      <w:ind w:leftChars="100" w:left="0"/>
      <w:jc w:val="left"/>
      <w:outlineLvl w:val="0"/>
    </w:pPr>
    <w:rPr>
      <w:rFonts w:eastAsia="仿宋"/>
      <w:b/>
      <w:sz w:val="36"/>
      <w:szCs w:val="33"/>
    </w:rPr>
  </w:style>
  <w:style w:type="paragraph" w:styleId="2">
    <w:name w:val="heading 2"/>
    <w:basedOn w:val="a"/>
    <w:next w:val="a"/>
    <w:link w:val="2Char"/>
    <w:uiPriority w:val="9"/>
    <w:semiHidden/>
    <w:unhideWhenUsed/>
    <w:qFormat/>
    <w:rsid w:val="002165DF"/>
    <w:pPr>
      <w:keepNext/>
      <w:keepLines/>
      <w:spacing w:before="260" w:after="260" w:line="416" w:lineRule="auto"/>
      <w:outlineLvl w:val="1"/>
    </w:pPr>
    <w:rPr>
      <w:rFonts w:asciiTheme="majorHAnsi" w:eastAsiaTheme="majorEastAsia" w:hAnsiTheme="majorHAnsi" w:cstheme="majorBidi"/>
      <w:b/>
      <w:bC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1F5E93"/>
    <w:rPr>
      <w:sz w:val="18"/>
      <w:szCs w:val="18"/>
    </w:rPr>
  </w:style>
  <w:style w:type="paragraph" w:styleId="a5">
    <w:name w:val="footer"/>
    <w:basedOn w:val="a"/>
    <w:link w:val="Char0"/>
    <w:uiPriority w:val="99"/>
    <w:unhideWhenUsed/>
    <w:rsid w:val="001F5E93"/>
    <w:pPr>
      <w:tabs>
        <w:tab w:val="center" w:pos="4153"/>
        <w:tab w:val="right" w:pos="8306"/>
      </w:tabs>
      <w:snapToGrid w:val="0"/>
      <w:jc w:val="left"/>
    </w:pPr>
    <w:rPr>
      <w:sz w:val="18"/>
      <w:szCs w:val="18"/>
    </w:rPr>
  </w:style>
  <w:style w:type="character" w:customStyle="1" w:styleId="Char0">
    <w:name w:val="页脚 Char"/>
    <w:basedOn w:val="a1"/>
    <w:link w:val="a5"/>
    <w:uiPriority w:val="99"/>
    <w:rsid w:val="001F5E93"/>
    <w:rPr>
      <w:sz w:val="18"/>
      <w:szCs w:val="18"/>
    </w:rPr>
  </w:style>
  <w:style w:type="character" w:styleId="a6">
    <w:name w:val="page number"/>
    <w:basedOn w:val="a1"/>
    <w:uiPriority w:val="99"/>
    <w:rsid w:val="001F5E93"/>
  </w:style>
  <w:style w:type="paragraph" w:styleId="a7">
    <w:name w:val="Normal (Web)"/>
    <w:qFormat/>
    <w:rsid w:val="001F5E93"/>
    <w:pPr>
      <w:widowControl w:val="0"/>
      <w:spacing w:before="100" w:beforeAutospacing="1" w:after="100" w:afterAutospacing="1"/>
    </w:pPr>
    <w:rPr>
      <w:rFonts w:ascii="宋体" w:eastAsia="宋体" w:hAnsi="Times New Roman" w:cs="Times New Roman"/>
      <w:sz w:val="24"/>
      <w:szCs w:val="20"/>
    </w:rPr>
  </w:style>
  <w:style w:type="character" w:customStyle="1" w:styleId="1Char">
    <w:name w:val="标题 1 Char"/>
    <w:basedOn w:val="a1"/>
    <w:link w:val="1"/>
    <w:uiPriority w:val="1"/>
    <w:rsid w:val="002165DF"/>
    <w:rPr>
      <w:rFonts w:ascii="宋体" w:eastAsia="仿宋" w:hAnsi="宋体" w:cs="Times New Roman"/>
      <w:b/>
      <w:sz w:val="36"/>
      <w:szCs w:val="33"/>
    </w:rPr>
  </w:style>
  <w:style w:type="paragraph" w:styleId="a0">
    <w:name w:val="Body Text"/>
    <w:basedOn w:val="a"/>
    <w:link w:val="Char1"/>
    <w:uiPriority w:val="1"/>
    <w:qFormat/>
    <w:rsid w:val="002165DF"/>
    <w:pPr>
      <w:ind w:left="120"/>
    </w:pPr>
    <w:rPr>
      <w:rFonts w:ascii="宋体" w:eastAsia="宋体" w:hAnsi="宋体"/>
      <w:sz w:val="31"/>
      <w:szCs w:val="31"/>
    </w:rPr>
  </w:style>
  <w:style w:type="character" w:customStyle="1" w:styleId="Char1">
    <w:name w:val="正文文本 Char"/>
    <w:basedOn w:val="a1"/>
    <w:link w:val="a0"/>
    <w:uiPriority w:val="1"/>
    <w:rsid w:val="002165DF"/>
    <w:rPr>
      <w:rFonts w:ascii="宋体" w:eastAsia="宋体" w:hAnsi="宋体" w:cs="Times New Roman"/>
      <w:sz w:val="31"/>
      <w:szCs w:val="31"/>
    </w:rPr>
  </w:style>
  <w:style w:type="character" w:customStyle="1" w:styleId="2Char">
    <w:name w:val="标题 2 Char"/>
    <w:basedOn w:val="a1"/>
    <w:link w:val="2"/>
    <w:uiPriority w:val="9"/>
    <w:semiHidden/>
    <w:rsid w:val="002165DF"/>
    <w:rPr>
      <w:rFonts w:asciiTheme="majorHAnsi" w:eastAsiaTheme="majorEastAsia" w:hAnsiTheme="majorHAnsi" w:cstheme="majorBidi"/>
      <w:b/>
      <w:bCs/>
      <w:sz w:val="32"/>
      <w:szCs w:val="32"/>
    </w:rPr>
  </w:style>
  <w:style w:type="paragraph" w:styleId="a8">
    <w:name w:val="Date"/>
    <w:basedOn w:val="a"/>
    <w:next w:val="a"/>
    <w:link w:val="Char2"/>
    <w:rsid w:val="004E2031"/>
    <w:pPr>
      <w:ind w:leftChars="2500" w:left="100"/>
    </w:pPr>
    <w:rPr>
      <w:rFonts w:eastAsia="宋体"/>
      <w:sz w:val="21"/>
      <w:szCs w:val="24"/>
    </w:rPr>
  </w:style>
  <w:style w:type="character" w:customStyle="1" w:styleId="Char2">
    <w:name w:val="日期 Char"/>
    <w:basedOn w:val="a1"/>
    <w:link w:val="a8"/>
    <w:rsid w:val="004E2031"/>
    <w:rPr>
      <w:rFonts w:ascii="Times New Roman" w:eastAsia="宋体" w:hAnsi="Times New Roman" w:cs="Times New Roman"/>
      <w:szCs w:val="24"/>
    </w:rPr>
  </w:style>
  <w:style w:type="paragraph" w:styleId="a9">
    <w:name w:val="annotation text"/>
    <w:basedOn w:val="a"/>
    <w:link w:val="Char3"/>
    <w:rsid w:val="004E2031"/>
    <w:pPr>
      <w:jc w:val="left"/>
    </w:pPr>
    <w:rPr>
      <w:rFonts w:eastAsia="宋体"/>
      <w:sz w:val="21"/>
      <w:szCs w:val="24"/>
    </w:rPr>
  </w:style>
  <w:style w:type="character" w:customStyle="1" w:styleId="Char3">
    <w:name w:val="批注文字 Char"/>
    <w:basedOn w:val="a1"/>
    <w:link w:val="a9"/>
    <w:rsid w:val="004E2031"/>
    <w:rPr>
      <w:rFonts w:ascii="Times New Roman" w:eastAsia="宋体" w:hAnsi="Times New Roman" w:cs="Times New Roman"/>
      <w:szCs w:val="24"/>
    </w:rPr>
  </w:style>
  <w:style w:type="paragraph" w:styleId="aa">
    <w:name w:val="Balloon Text"/>
    <w:basedOn w:val="a"/>
    <w:link w:val="Char4"/>
    <w:rsid w:val="004E2031"/>
    <w:rPr>
      <w:rFonts w:eastAsia="宋体"/>
      <w:sz w:val="18"/>
      <w:szCs w:val="18"/>
    </w:rPr>
  </w:style>
  <w:style w:type="character" w:customStyle="1" w:styleId="Char4">
    <w:name w:val="批注框文本 Char"/>
    <w:basedOn w:val="a1"/>
    <w:link w:val="aa"/>
    <w:rsid w:val="004E2031"/>
    <w:rPr>
      <w:rFonts w:ascii="Times New Roman" w:eastAsia="宋体" w:hAnsi="Times New Roman" w:cs="Times New Roman"/>
      <w:sz w:val="18"/>
      <w:szCs w:val="18"/>
    </w:rPr>
  </w:style>
  <w:style w:type="paragraph" w:styleId="ab">
    <w:name w:val="Normal Indent"/>
    <w:basedOn w:val="a"/>
    <w:qFormat/>
    <w:rsid w:val="003F7494"/>
    <w:pPr>
      <w:ind w:firstLineChars="200" w:firstLine="420"/>
    </w:pPr>
    <w:rPr>
      <w:rFonts w:asciiTheme="minorHAnsi" w:eastAsiaTheme="minorEastAsia" w:hAnsiTheme="minorHAnsi" w:cstheme="minorBidi"/>
      <w:sz w:val="21"/>
      <w:szCs w:val="22"/>
    </w:rPr>
  </w:style>
  <w:style w:type="paragraph" w:customStyle="1" w:styleId="ac">
    <w:name w:val="表格格式小五"/>
    <w:basedOn w:val="a"/>
    <w:rsid w:val="002D3903"/>
    <w:rPr>
      <w:rFonts w:eastAsia="宋体"/>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966</Words>
  <Characters>5508</Characters>
  <Application>Microsoft Office Word</Application>
  <DocSecurity>0</DocSecurity>
  <Lines>45</Lines>
  <Paragraphs>12</Paragraphs>
  <ScaleCrop>false</ScaleCrop>
  <Company>微软中国</Company>
  <LinksUpToDate>false</LinksUpToDate>
  <CharactersWithSpaces>6462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28</cp:revision>
  <dcterms:created xsi:type="dcterms:W3CDTF">2018-12-24T07:20:00Z</dcterms:created>
  <dcterms:modified xsi:type="dcterms:W3CDTF">2019-06-26T02:39:00Z</dcterms:modified>
</cp:coreProperties>
</file>